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000000" w:themeColor="text1"/>
          <w:sz w:val="40"/>
          <w:szCs w:val="28"/>
          <w:highlight w:val="none"/>
          <w14:textFill>
            <w14:solidFill>
              <w14:schemeClr w14:val="tx1"/>
            </w14:solidFill>
          </w14:textFill>
        </w:rPr>
      </w:pPr>
      <w:r>
        <w:rPr>
          <w:rFonts w:hint="eastAsia" w:ascii="宋体" w:hAnsi="宋体" w:cs="宋体"/>
          <w:b/>
          <w:color w:val="000000" w:themeColor="text1"/>
          <w:sz w:val="48"/>
          <w:szCs w:val="36"/>
          <w14:textFill>
            <w14:solidFill>
              <w14:schemeClr w14:val="tx1"/>
            </w14:solidFill>
          </w14:textFill>
        </w:rPr>
        <w:t xml:space="preserve"> </w:t>
      </w:r>
      <w:r>
        <w:rPr>
          <w:rFonts w:hint="eastAsia" w:ascii="宋体" w:hAnsi="宋体" w:eastAsia="宋体" w:cs="宋体"/>
          <w:b/>
          <w:color w:val="000000" w:themeColor="text1"/>
          <w:sz w:val="40"/>
          <w:szCs w:val="28"/>
          <w:highlight w:val="none"/>
          <w14:textFill>
            <w14:solidFill>
              <w14:schemeClr w14:val="tx1"/>
            </w14:solidFill>
          </w14:textFill>
        </w:rPr>
        <w:t>宜昌长江三峡旅游客运有限公司门卫、安检、水陆</w:t>
      </w:r>
    </w:p>
    <w:p>
      <w:pPr>
        <w:jc w:val="center"/>
        <w:rPr>
          <w:rFonts w:ascii="宋体" w:hAnsi="宋体" w:cs="宋体"/>
          <w:b/>
          <w:bCs/>
          <w:color w:val="000000" w:themeColor="text1"/>
          <w:sz w:val="52"/>
          <w:szCs w:val="52"/>
          <w14:textFill>
            <w14:solidFill>
              <w14:schemeClr w14:val="tx1"/>
            </w14:solidFill>
          </w14:textFill>
        </w:rPr>
      </w:pPr>
      <w:r>
        <w:rPr>
          <w:rFonts w:hint="eastAsia" w:ascii="宋体" w:hAnsi="宋体" w:eastAsia="宋体" w:cs="宋体"/>
          <w:b/>
          <w:color w:val="000000" w:themeColor="text1"/>
          <w:sz w:val="40"/>
          <w:szCs w:val="28"/>
          <w:highlight w:val="none"/>
          <w14:textFill>
            <w14:solidFill>
              <w14:schemeClr w14:val="tx1"/>
            </w14:solidFill>
          </w14:textFill>
        </w:rPr>
        <w:t>实名制服务外包</w:t>
      </w:r>
    </w:p>
    <w:p>
      <w:pPr>
        <w:rPr>
          <w:rFonts w:ascii="宋体" w:hAnsi="宋体" w:cs="宋体"/>
          <w:color w:val="000000" w:themeColor="text1"/>
          <w:sz w:val="32"/>
          <w:szCs w:val="32"/>
          <w14:textFill>
            <w14:solidFill>
              <w14:schemeClr w14:val="tx1"/>
            </w14:solidFill>
          </w14:textFill>
        </w:rPr>
      </w:pPr>
    </w:p>
    <w:p>
      <w:pPr>
        <w:rPr>
          <w:rFonts w:ascii="宋体" w:hAnsi="宋体" w:cs="宋体"/>
          <w:color w:val="000000" w:themeColor="text1"/>
          <w:sz w:val="32"/>
          <w:szCs w:val="32"/>
          <w14:textFill>
            <w14:solidFill>
              <w14:schemeClr w14:val="tx1"/>
            </w14:solidFill>
          </w14:textFill>
        </w:rPr>
      </w:pPr>
    </w:p>
    <w:p>
      <w:pPr>
        <w:rPr>
          <w:rFonts w:ascii="宋体" w:hAnsi="宋体" w:cs="宋体"/>
          <w:color w:val="000000" w:themeColor="text1"/>
          <w:sz w:val="32"/>
          <w:szCs w:val="32"/>
          <w14:textFill>
            <w14:solidFill>
              <w14:schemeClr w14:val="tx1"/>
            </w14:solidFill>
          </w14:textFill>
        </w:rPr>
      </w:pPr>
    </w:p>
    <w:p>
      <w:pPr>
        <w:rPr>
          <w:rFonts w:ascii="宋体" w:hAnsi="宋体" w:cs="宋体"/>
          <w:color w:val="000000" w:themeColor="text1"/>
          <w14:textFill>
            <w14:solidFill>
              <w14:schemeClr w14:val="tx1"/>
            </w14:solidFill>
          </w14:textFill>
        </w:rPr>
      </w:pPr>
    </w:p>
    <w:p>
      <w:pPr>
        <w:pStyle w:val="21"/>
        <w:rPr>
          <w:color w:val="000000" w:themeColor="text1"/>
          <w14:textFill>
            <w14:solidFill>
              <w14:schemeClr w14:val="tx1"/>
            </w14:solidFill>
          </w14:textFill>
        </w:rPr>
      </w:pPr>
    </w:p>
    <w:p>
      <w:pPr>
        <w:jc w:val="center"/>
        <w:rPr>
          <w:rFonts w:ascii="宋体" w:hAnsi="宋体" w:cs="宋体"/>
          <w:b/>
          <w:color w:val="000000" w:themeColor="text1"/>
          <w:sz w:val="96"/>
          <w:szCs w:val="84"/>
          <w14:textFill>
            <w14:solidFill>
              <w14:schemeClr w14:val="tx1"/>
            </w14:solidFill>
          </w14:textFill>
        </w:rPr>
      </w:pPr>
      <w:r>
        <w:rPr>
          <w:rFonts w:hint="eastAsia" w:ascii="宋体" w:hAnsi="宋体" w:cs="宋体"/>
          <w:b/>
          <w:color w:val="000000" w:themeColor="text1"/>
          <w:sz w:val="96"/>
          <w:szCs w:val="84"/>
          <w14:textFill>
            <w14:solidFill>
              <w14:schemeClr w14:val="tx1"/>
            </w14:solidFill>
          </w14:textFill>
        </w:rPr>
        <w:t>招 标 文 件</w:t>
      </w:r>
    </w:p>
    <w:p>
      <w:pPr>
        <w:jc w:val="center"/>
        <w:rPr>
          <w:rFonts w:ascii="宋体" w:hAnsi="宋体" w:cs="宋体"/>
          <w:color w:val="000000" w:themeColor="text1"/>
          <w:szCs w:val="21"/>
          <w14:textFill>
            <w14:solidFill>
              <w14:schemeClr w14:val="tx1"/>
            </w14:solidFill>
          </w14:textFill>
        </w:rPr>
      </w:pPr>
    </w:p>
    <w:p>
      <w:pPr>
        <w:ind w:firstLine="2560" w:firstLineChars="800"/>
        <w:rPr>
          <w:rFonts w:ascii="宋体" w:hAnsi="宋体" w:cs="宋体"/>
          <w:bCs/>
          <w:color w:val="000000" w:themeColor="text1"/>
          <w:sz w:val="32"/>
          <w:szCs w:val="32"/>
          <w14:textFill>
            <w14:solidFill>
              <w14:schemeClr w14:val="tx1"/>
            </w14:solidFill>
          </w14:textFill>
        </w:rPr>
      </w:pPr>
      <w:r>
        <w:rPr>
          <w:rFonts w:hint="eastAsia" w:ascii="宋体" w:hAnsi="宋体" w:cs="宋体"/>
          <w:bCs/>
          <w:color w:val="000000" w:themeColor="text1"/>
          <w:sz w:val="32"/>
          <w:szCs w:val="32"/>
          <w14:textFill>
            <w14:solidFill>
              <w14:schemeClr w14:val="tx1"/>
            </w14:solidFill>
          </w14:textFill>
        </w:rPr>
        <w:t>项目编号：</w:t>
      </w:r>
      <w:r>
        <w:rPr>
          <w:rFonts w:hint="eastAsia" w:ascii="宋体" w:hAnsi="宋体" w:eastAsia="宋体" w:cs="宋体"/>
          <w:bCs/>
          <w:color w:val="000000" w:themeColor="text1"/>
          <w:sz w:val="32"/>
          <w:szCs w:val="32"/>
          <w:highlight w:val="none"/>
          <w14:textFill>
            <w14:solidFill>
              <w14:schemeClr w14:val="tx1"/>
            </w14:solidFill>
          </w14:textFill>
        </w:rPr>
        <w:t>HBXYZB（2021）1</w:t>
      </w:r>
      <w:r>
        <w:rPr>
          <w:rFonts w:hint="eastAsia" w:ascii="宋体" w:hAnsi="宋体" w:eastAsia="宋体" w:cs="宋体"/>
          <w:bCs/>
          <w:color w:val="000000" w:themeColor="text1"/>
          <w:sz w:val="32"/>
          <w:szCs w:val="32"/>
          <w:highlight w:val="none"/>
          <w:lang w:val="en-US" w:eastAsia="zh-CN"/>
          <w14:textFill>
            <w14:solidFill>
              <w14:schemeClr w14:val="tx1"/>
            </w14:solidFill>
          </w14:textFill>
        </w:rPr>
        <w:t>42</w:t>
      </w: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autoSpaceDE w:val="0"/>
        <w:autoSpaceDN w:val="0"/>
        <w:adjustRightInd w:val="0"/>
        <w:spacing w:line="200" w:lineRule="exact"/>
        <w:jc w:val="left"/>
        <w:rPr>
          <w:rFonts w:ascii="宋体" w:hAnsi="宋体" w:cs="宋体"/>
          <w:color w:val="000000" w:themeColor="text1"/>
          <w:kern w:val="0"/>
          <w:sz w:val="28"/>
          <w:szCs w:val="20"/>
          <w14:textFill>
            <w14:solidFill>
              <w14:schemeClr w14:val="tx1"/>
            </w14:solidFill>
          </w14:textFill>
        </w:rPr>
      </w:pPr>
    </w:p>
    <w:p>
      <w:pPr>
        <w:pStyle w:val="21"/>
        <w:rPr>
          <w:rFonts w:cs="宋体"/>
          <w:color w:val="000000" w:themeColor="text1"/>
          <w:kern w:val="0"/>
          <w:sz w:val="30"/>
          <w:szCs w:val="30"/>
          <w14:textFill>
            <w14:solidFill>
              <w14:schemeClr w14:val="tx1"/>
            </w14:solidFill>
          </w14:textFill>
        </w:rPr>
      </w:pPr>
    </w:p>
    <w:p>
      <w:pPr>
        <w:spacing w:line="700" w:lineRule="exact"/>
        <w:ind w:firstLine="301" w:firstLineChars="100"/>
        <w:outlineLvl w:val="0"/>
        <w:rPr>
          <w:rFonts w:hint="eastAsia" w:ascii="宋体" w:hAnsi="宋体" w:eastAsia="宋体" w:cs="宋体"/>
          <w:b/>
          <w:bCs/>
          <w:color w:val="000000" w:themeColor="text1"/>
          <w:sz w:val="30"/>
          <w:szCs w:val="30"/>
          <w:highlight w:val="none"/>
          <w14:textFill>
            <w14:solidFill>
              <w14:schemeClr w14:val="tx1"/>
            </w14:solidFill>
          </w14:textFill>
        </w:rPr>
      </w:pPr>
      <w:bookmarkStart w:id="0" w:name="_Toc16558"/>
      <w:bookmarkStart w:id="1" w:name="_Toc20870"/>
      <w:bookmarkStart w:id="2" w:name="_Toc18603030"/>
      <w:bookmarkStart w:id="3" w:name="_Toc6396"/>
      <w:bookmarkStart w:id="4" w:name="_Toc9268"/>
      <w:bookmarkStart w:id="5" w:name="_Toc28674"/>
      <w:r>
        <w:rPr>
          <w:rFonts w:hint="eastAsia" w:ascii="宋体" w:hAnsi="宋体" w:cs="宋体"/>
          <w:b/>
          <w:bCs/>
          <w:color w:val="000000" w:themeColor="text1"/>
          <w:sz w:val="30"/>
          <w:szCs w:val="30"/>
          <w14:textFill>
            <w14:solidFill>
              <w14:schemeClr w14:val="tx1"/>
            </w14:solidFill>
          </w14:textFill>
        </w:rPr>
        <w:t>招</w:t>
      </w:r>
      <w:bookmarkEnd w:id="0"/>
      <w:bookmarkEnd w:id="1"/>
      <w:bookmarkEnd w:id="2"/>
      <w:bookmarkEnd w:id="3"/>
      <w:bookmarkEnd w:id="4"/>
      <w:bookmarkEnd w:id="5"/>
      <w:bookmarkStart w:id="6" w:name="_Toc28395"/>
      <w:bookmarkStart w:id="7" w:name="_Toc22555"/>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0"/>
          <w:szCs w:val="30"/>
          <w:highlight w:val="none"/>
          <w14:textFill>
            <w14:solidFill>
              <w14:schemeClr w14:val="tx1"/>
            </w14:solidFill>
          </w14:textFill>
        </w:rPr>
        <w:t>标</w:t>
      </w: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0"/>
          <w:szCs w:val="30"/>
          <w:highlight w:val="none"/>
          <w14:textFill>
            <w14:solidFill>
              <w14:schemeClr w14:val="tx1"/>
            </w14:solidFill>
          </w14:textFill>
        </w:rPr>
        <w:t>人：</w:t>
      </w:r>
      <w:r>
        <w:rPr>
          <w:rFonts w:hint="eastAsia" w:ascii="宋体" w:hAnsi="宋体" w:eastAsia="宋体" w:cs="宋体"/>
          <w:b/>
          <w:bCs/>
          <w:color w:val="000000" w:themeColor="text1"/>
          <w:sz w:val="30"/>
          <w:szCs w:val="30"/>
          <w:highlight w:val="none"/>
          <w:u w:val="single"/>
          <w14:textFill>
            <w14:solidFill>
              <w14:schemeClr w14:val="tx1"/>
            </w14:solidFill>
          </w14:textFill>
        </w:rPr>
        <w:t xml:space="preserve">    宜昌长江三峡旅游客运有限公司    </w:t>
      </w:r>
      <w:r>
        <w:rPr>
          <w:rFonts w:hint="eastAsia" w:ascii="宋体" w:hAnsi="宋体" w:eastAsia="宋体" w:cs="宋体"/>
          <w:b/>
          <w:bCs/>
          <w:color w:val="000000" w:themeColor="text1"/>
          <w:sz w:val="30"/>
          <w:szCs w:val="30"/>
          <w:highlight w:val="none"/>
          <w14:textFill>
            <w14:solidFill>
              <w14:schemeClr w14:val="tx1"/>
            </w14:solidFill>
          </w14:textFill>
        </w:rPr>
        <w:t>（盖  章）</w:t>
      </w:r>
      <w:bookmarkEnd w:id="6"/>
      <w:bookmarkEnd w:id="7"/>
    </w:p>
    <w:p>
      <w:pPr>
        <w:pStyle w:val="25"/>
        <w:spacing w:line="700" w:lineRule="exact"/>
        <w:ind w:firstLine="301" w:firstLineChars="100"/>
        <w:rPr>
          <w:rFonts w:hint="eastAsia" w:ascii="宋体" w:hAnsi="宋体" w:eastAsia="宋体" w:cs="宋体"/>
          <w:b/>
          <w:color w:val="000000" w:themeColor="text1"/>
          <w:sz w:val="30"/>
          <w:szCs w:val="30"/>
          <w:highlight w:val="none"/>
          <w14:textFill>
            <w14:solidFill>
              <w14:schemeClr w14:val="tx1"/>
            </w14:solidFill>
          </w14:textFill>
        </w:rPr>
      </w:pPr>
      <w:r>
        <w:rPr>
          <w:rFonts w:hint="eastAsia" w:ascii="宋体" w:hAnsi="宋体" w:eastAsia="宋体" w:cs="宋体"/>
          <w:b/>
          <w:color w:val="000000" w:themeColor="text1"/>
          <w:sz w:val="30"/>
          <w:szCs w:val="30"/>
          <w:highlight w:val="none"/>
          <w14:textFill>
            <w14:solidFill>
              <w14:schemeClr w14:val="tx1"/>
            </w14:solidFill>
          </w14:textFill>
        </w:rPr>
        <w:t>法定代表人或其委托代理人：</w:t>
      </w:r>
      <w:r>
        <w:rPr>
          <w:rFonts w:hint="eastAsia" w:ascii="宋体" w:hAnsi="宋体" w:eastAsia="宋体" w:cs="宋体"/>
          <w:b/>
          <w:color w:val="000000" w:themeColor="text1"/>
          <w:sz w:val="30"/>
          <w:szCs w:val="30"/>
          <w:highlight w:val="none"/>
          <w:u w:val="single"/>
          <w14:textFill>
            <w14:solidFill>
              <w14:schemeClr w14:val="tx1"/>
            </w14:solidFill>
          </w14:textFill>
        </w:rPr>
        <w:t xml:space="preserve">                        </w:t>
      </w:r>
      <w:r>
        <w:rPr>
          <w:rFonts w:hint="eastAsia" w:ascii="宋体" w:hAnsi="宋体" w:eastAsia="宋体" w:cs="宋体"/>
          <w:b/>
          <w:bCs/>
          <w:color w:val="000000" w:themeColor="text1"/>
          <w:sz w:val="30"/>
          <w:szCs w:val="30"/>
          <w:highlight w:val="none"/>
          <w14:textFill>
            <w14:solidFill>
              <w14:schemeClr w14:val="tx1"/>
            </w14:solidFill>
          </w14:textFill>
        </w:rPr>
        <w:t>（签  章）</w:t>
      </w:r>
    </w:p>
    <w:p>
      <w:pPr>
        <w:pStyle w:val="25"/>
        <w:spacing w:line="700" w:lineRule="exact"/>
        <w:ind w:firstLine="301" w:firstLineChars="100"/>
        <w:rPr>
          <w:rFonts w:hint="eastAsia" w:ascii="宋体" w:hAnsi="宋体" w:eastAsia="宋体" w:cs="宋体"/>
          <w:b/>
          <w:color w:val="000000" w:themeColor="text1"/>
          <w:sz w:val="30"/>
          <w:szCs w:val="30"/>
          <w:highlight w:val="none"/>
          <w14:textFill>
            <w14:solidFill>
              <w14:schemeClr w14:val="tx1"/>
            </w14:solidFill>
          </w14:textFill>
        </w:rPr>
      </w:pPr>
      <w:r>
        <w:rPr>
          <w:rFonts w:hint="eastAsia" w:ascii="宋体" w:hAnsi="宋体" w:eastAsia="宋体" w:cs="宋体"/>
          <w:b/>
          <w:color w:val="000000" w:themeColor="text1"/>
          <w:sz w:val="30"/>
          <w:szCs w:val="30"/>
          <w:highlight w:val="none"/>
          <w14:textFill>
            <w14:solidFill>
              <w14:schemeClr w14:val="tx1"/>
            </w14:solidFill>
          </w14:textFill>
        </w:rPr>
        <w:t>招标代理机构：</w:t>
      </w:r>
      <w:r>
        <w:rPr>
          <w:rFonts w:hint="eastAsia" w:ascii="宋体" w:hAnsi="宋体" w:eastAsia="宋体" w:cs="宋体"/>
          <w:b/>
          <w:color w:val="000000" w:themeColor="text1"/>
          <w:sz w:val="30"/>
          <w:szCs w:val="30"/>
          <w:highlight w:val="none"/>
          <w:u w:val="single"/>
          <w14:textFill>
            <w14:solidFill>
              <w14:schemeClr w14:val="tx1"/>
            </w14:solidFill>
          </w14:textFill>
        </w:rPr>
        <w:t xml:space="preserve">      </w:t>
      </w:r>
      <w:r>
        <w:rPr>
          <w:rFonts w:hint="eastAsia" w:ascii="宋体" w:hAnsi="宋体" w:eastAsia="宋体" w:cs="宋体"/>
          <w:b/>
          <w:bCs/>
          <w:color w:val="000000" w:themeColor="text1"/>
          <w:sz w:val="30"/>
          <w:szCs w:val="30"/>
          <w:highlight w:val="none"/>
          <w:u w:val="single"/>
          <w14:textFill>
            <w14:solidFill>
              <w14:schemeClr w14:val="tx1"/>
            </w14:solidFill>
          </w14:textFill>
        </w:rPr>
        <w:t xml:space="preserve">湖北兴焱工程咨询有限公司      </w:t>
      </w:r>
      <w:r>
        <w:rPr>
          <w:rFonts w:hint="eastAsia" w:ascii="宋体" w:hAnsi="宋体" w:eastAsia="宋体" w:cs="宋体"/>
          <w:b/>
          <w:color w:val="000000" w:themeColor="text1"/>
          <w:sz w:val="30"/>
          <w:szCs w:val="30"/>
          <w:highlight w:val="none"/>
          <w14:textFill>
            <w14:solidFill>
              <w14:schemeClr w14:val="tx1"/>
            </w14:solidFill>
          </w14:textFill>
        </w:rPr>
        <w:t>（盖  章）</w:t>
      </w:r>
    </w:p>
    <w:p>
      <w:pPr>
        <w:pStyle w:val="25"/>
        <w:spacing w:line="700" w:lineRule="exact"/>
        <w:ind w:firstLine="301" w:firstLineChars="100"/>
        <w:rPr>
          <w:rFonts w:hint="eastAsia" w:ascii="宋体" w:hAnsi="宋体" w:eastAsia="宋体" w:cs="宋体"/>
          <w:b/>
          <w:color w:val="000000" w:themeColor="text1"/>
          <w:sz w:val="30"/>
          <w:szCs w:val="30"/>
          <w:highlight w:val="none"/>
          <w14:textFill>
            <w14:solidFill>
              <w14:schemeClr w14:val="tx1"/>
            </w14:solidFill>
          </w14:textFill>
        </w:rPr>
      </w:pPr>
      <w:r>
        <w:rPr>
          <w:rFonts w:hint="eastAsia" w:ascii="宋体" w:hAnsi="宋体" w:eastAsia="宋体" w:cs="宋体"/>
          <w:b/>
          <w:color w:val="000000" w:themeColor="text1"/>
          <w:sz w:val="30"/>
          <w:szCs w:val="30"/>
          <w:highlight w:val="none"/>
          <w14:textFill>
            <w14:solidFill>
              <w14:schemeClr w14:val="tx1"/>
            </w14:solidFill>
          </w14:textFill>
        </w:rPr>
        <w:t>法定代表人或其委托代理人：</w:t>
      </w:r>
      <w:r>
        <w:rPr>
          <w:rFonts w:hint="eastAsia" w:ascii="宋体" w:hAnsi="宋体" w:eastAsia="宋体" w:cs="宋体"/>
          <w:b/>
          <w:color w:val="000000" w:themeColor="text1"/>
          <w:sz w:val="30"/>
          <w:szCs w:val="30"/>
          <w:highlight w:val="none"/>
          <w:u w:val="single"/>
          <w14:textFill>
            <w14:solidFill>
              <w14:schemeClr w14:val="tx1"/>
            </w14:solidFill>
          </w14:textFill>
        </w:rPr>
        <w:t xml:space="preserve">                        </w:t>
      </w:r>
      <w:r>
        <w:rPr>
          <w:rFonts w:hint="eastAsia" w:ascii="宋体" w:hAnsi="宋体" w:eastAsia="宋体" w:cs="宋体"/>
          <w:b/>
          <w:color w:val="000000" w:themeColor="text1"/>
          <w:sz w:val="30"/>
          <w:szCs w:val="30"/>
          <w:highlight w:val="none"/>
          <w14:textFill>
            <w14:solidFill>
              <w14:schemeClr w14:val="tx1"/>
            </w14:solidFill>
          </w14:textFill>
        </w:rPr>
        <w:t>（签  章）</w:t>
      </w:r>
    </w:p>
    <w:p>
      <w:pPr>
        <w:spacing w:line="700" w:lineRule="exact"/>
        <w:jc w:val="center"/>
        <w:rPr>
          <w:rFonts w:ascii="宋体" w:hAnsi="宋体" w:cs="宋体"/>
          <w:b/>
          <w:color w:val="000000" w:themeColor="text1"/>
          <w:sz w:val="30"/>
          <w:szCs w:val="30"/>
          <w14:textFill>
            <w14:solidFill>
              <w14:schemeClr w14:val="tx1"/>
            </w14:solidFill>
          </w14:textFill>
        </w:rPr>
      </w:pPr>
      <w:r>
        <w:rPr>
          <w:rFonts w:hint="eastAsia" w:ascii="宋体" w:hAnsi="宋体" w:eastAsia="宋体" w:cs="宋体"/>
          <w:b/>
          <w:color w:val="000000" w:themeColor="text1"/>
          <w:sz w:val="30"/>
          <w:szCs w:val="30"/>
          <w:highlight w:val="none"/>
          <w14:textFill>
            <w14:solidFill>
              <w14:schemeClr w14:val="tx1"/>
            </w14:solidFill>
          </w14:textFill>
        </w:rPr>
        <w:t xml:space="preserve">    二○二一年</w:t>
      </w:r>
      <w:r>
        <w:rPr>
          <w:rFonts w:hint="eastAsia" w:ascii="宋体" w:hAnsi="宋体" w:cs="宋体"/>
          <w:b/>
          <w:color w:val="000000" w:themeColor="text1"/>
          <w:sz w:val="30"/>
          <w:szCs w:val="30"/>
          <w:highlight w:val="none"/>
          <w:lang w:eastAsia="zh-CN"/>
          <w14:textFill>
            <w14:solidFill>
              <w14:schemeClr w14:val="tx1"/>
            </w14:solidFill>
          </w14:textFill>
        </w:rPr>
        <w:t>九</w:t>
      </w:r>
      <w:r>
        <w:rPr>
          <w:rFonts w:hint="eastAsia" w:ascii="宋体" w:hAnsi="宋体" w:eastAsia="宋体" w:cs="宋体"/>
          <w:b/>
          <w:color w:val="000000" w:themeColor="text1"/>
          <w:sz w:val="30"/>
          <w:szCs w:val="30"/>
          <w:highlight w:val="none"/>
          <w14:textFill>
            <w14:solidFill>
              <w14:schemeClr w14:val="tx1"/>
            </w14:solidFill>
          </w14:textFill>
        </w:rPr>
        <w:t>月</w:t>
      </w:r>
    </w:p>
    <w:p>
      <w:pPr>
        <w:spacing w:line="480" w:lineRule="auto"/>
        <w:jc w:val="center"/>
        <w:rPr>
          <w:rFonts w:ascii="宋体" w:hAnsi="宋体" w:cs="宋体"/>
          <w:color w:val="000000" w:themeColor="text1"/>
          <w14:textFill>
            <w14:solidFill>
              <w14:schemeClr w14:val="tx1"/>
            </w14:solidFill>
          </w14:textFill>
        </w:rPr>
        <w:sectPr>
          <w:headerReference r:id="rId3" w:type="default"/>
          <w:type w:val="continuous"/>
          <w:pgSz w:w="11906" w:h="16838"/>
          <w:pgMar w:top="1440" w:right="1080" w:bottom="1440" w:left="1080" w:header="851" w:footer="992" w:gutter="0"/>
          <w:pgNumType w:fmt="upperRoman" w:start="1"/>
          <w:cols w:space="720" w:num="1"/>
          <w:docGrid w:type="lines" w:linePitch="312" w:charSpace="0"/>
        </w:sectPr>
      </w:pPr>
    </w:p>
    <w:p>
      <w:pPr>
        <w:pStyle w:val="32"/>
        <w:tabs>
          <w:tab w:val="right" w:leader="dot" w:pos="8902"/>
          <w:tab w:val="clear" w:pos="8296"/>
        </w:tabs>
        <w:spacing w:line="500" w:lineRule="exact"/>
        <w:ind w:firstLine="422" w:firstLineChars="175"/>
        <w:rPr>
          <w:rFonts w:ascii="宋体" w:hAnsi="宋体"/>
          <w:color w:val="000000" w:themeColor="text1"/>
          <w:szCs w:val="24"/>
          <w14:textFill>
            <w14:solidFill>
              <w14:schemeClr w14:val="tx1"/>
            </w14:solidFill>
          </w14:textFill>
        </w:rPr>
      </w:pPr>
      <w:bookmarkStart w:id="8" w:name="_Toc8769"/>
      <w:bookmarkStart w:id="9" w:name="_Toc11072"/>
      <w:bookmarkStart w:id="10" w:name="_Toc20741"/>
      <w:bookmarkStart w:id="11" w:name="_Toc522293502"/>
      <w:r>
        <w:rPr>
          <w:rFonts w:ascii="宋体" w:hAnsi="宋体"/>
          <w:color w:val="000000" w:themeColor="text1"/>
          <w:szCs w:val="24"/>
          <w14:textFill>
            <w14:solidFill>
              <w14:schemeClr w14:val="tx1"/>
            </w14:solidFill>
          </w14:textFill>
        </w:rPr>
        <w:fldChar w:fldCharType="begin"/>
      </w:r>
      <w:r>
        <w:rPr>
          <w:rFonts w:ascii="宋体" w:hAnsi="宋体"/>
          <w:color w:val="000000" w:themeColor="text1"/>
          <w:szCs w:val="24"/>
          <w14:textFill>
            <w14:solidFill>
              <w14:schemeClr w14:val="tx1"/>
            </w14:solidFill>
          </w14:textFill>
        </w:rPr>
        <w:instrText xml:space="preserve">TOC \o "1-2" \h \u </w:instrText>
      </w:r>
      <w:r>
        <w:rPr>
          <w:rFonts w:ascii="宋体" w:hAnsi="宋体"/>
          <w:color w:val="000000" w:themeColor="text1"/>
          <w:szCs w:val="24"/>
          <w14:textFill>
            <w14:solidFill>
              <w14:schemeClr w14:val="tx1"/>
            </w14:solidFill>
          </w14:textFill>
        </w:rPr>
        <w:fldChar w:fldCharType="separate"/>
      </w:r>
    </w:p>
    <w:sdt>
      <w:sdtPr>
        <w:rPr>
          <w:rFonts w:ascii="宋体" w:hAnsi="宋体"/>
          <w:b/>
          <w:color w:val="000000" w:themeColor="text1"/>
          <w:sz w:val="24"/>
          <w:szCs w:val="20"/>
          <w14:textFill>
            <w14:solidFill>
              <w14:schemeClr w14:val="tx1"/>
            </w14:solidFill>
          </w14:textFill>
        </w:rPr>
        <w:id w:val="147464523"/>
        <w:docPartObj>
          <w:docPartGallery w:val="Table of Contents"/>
          <w:docPartUnique/>
        </w:docPartObj>
      </w:sdtPr>
      <w:sdtEndPr>
        <w:rPr>
          <w:rFonts w:ascii="宋体" w:hAnsi="宋体"/>
          <w:b/>
          <w:color w:val="000000" w:themeColor="text1"/>
          <w:sz w:val="24"/>
          <w:szCs w:val="24"/>
          <w14:textFill>
            <w14:solidFill>
              <w14:schemeClr w14:val="tx1"/>
            </w14:solidFill>
          </w14:textFill>
        </w:rPr>
      </w:sdtEndPr>
      <w:sdtContent>
        <w:p>
          <w:pPr>
            <w:spacing w:line="500" w:lineRule="exact"/>
            <w:ind w:firstLine="482" w:firstLineChars="200"/>
            <w:jc w:val="left"/>
            <w:rPr>
              <w:rFonts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宋体" w:hAnsi="宋体"/>
              <w:color w:val="000000" w:themeColor="text1"/>
              <w14:textFill>
                <w14:solidFill>
                  <w14:schemeClr w14:val="tx1"/>
                </w14:solidFill>
              </w14:textFill>
            </w:rPr>
            <w:t xml:space="preserve">                            </w:t>
          </w:r>
          <w:r>
            <w:rPr>
              <w:rFonts w:hint="eastAsia" w:ascii="宋体" w:hAnsi="宋体"/>
              <w:b/>
              <w:bCs/>
              <w:color w:val="000000" w:themeColor="text1"/>
              <w:sz w:val="28"/>
              <w:szCs w:val="28"/>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t>目        录</w:t>
          </w:r>
        </w:p>
        <w:p>
          <w:pPr>
            <w:pStyle w:val="219"/>
            <w:tabs>
              <w:tab w:val="right" w:leader="dot" w:pos="9020"/>
            </w:tabs>
            <w:spacing w:line="500" w:lineRule="exact"/>
            <w:ind w:firstLine="560" w:firstLineChars="200"/>
            <w:rPr>
              <w:rFonts w:asciiTheme="minorEastAsia" w:hAnsiTheme="minorEastAsia" w:eastAsiaTheme="minorEastAsia" w:cstheme="minorEastAsia"/>
              <w:b/>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TOC \o "1-2" \h \u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"_Toc8565"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第一章 招标公告</w:t>
          </w:r>
          <w:r>
            <w:rPr>
              <w:rFonts w:hint="eastAsia" w:asciiTheme="minorEastAsia" w:hAnsiTheme="minorEastAsia" w:eastAsiaTheme="minorEastAsia" w:cstheme="minorEastAsia"/>
              <w:b/>
              <w:color w:val="000000" w:themeColor="text1"/>
              <w:sz w:val="28"/>
              <w:szCs w:val="28"/>
              <w14:textFill>
                <w14:solidFill>
                  <w14:schemeClr w14:val="tx1"/>
                </w14:solidFill>
              </w14:textFill>
            </w:rPr>
            <w:tab/>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color w:val="000000" w:themeColor="text1"/>
              <w:sz w:val="28"/>
              <w:szCs w:val="28"/>
              <w14:textFill>
                <w14:solidFill>
                  <w14:schemeClr w14:val="tx1"/>
                </w14:solidFill>
              </w14:textFill>
            </w:rPr>
            <w:instrText xml:space="preserve"> PAGEREF _Toc8565 \h </w:instrTex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3</w: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p>
        <w:p>
          <w:pPr>
            <w:pStyle w:val="219"/>
            <w:tabs>
              <w:tab w:val="right" w:leader="dot" w:pos="9020"/>
            </w:tabs>
            <w:spacing w:line="500" w:lineRule="exact"/>
            <w:ind w:firstLine="400" w:firstLineChars="200"/>
            <w:rPr>
              <w:rFonts w:asciiTheme="minorEastAsia" w:hAnsiTheme="minorEastAsia" w:eastAsiaTheme="minorEastAsia" w:cstheme="minorEastAsia"/>
              <w:b/>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"_Toc15173"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第二章 投标人须知</w:t>
          </w:r>
          <w:r>
            <w:rPr>
              <w:rFonts w:hint="eastAsia" w:asciiTheme="minorEastAsia" w:hAnsiTheme="minorEastAsia" w:eastAsiaTheme="minorEastAsia" w:cstheme="minorEastAsia"/>
              <w:b/>
              <w:color w:val="000000" w:themeColor="text1"/>
              <w:sz w:val="28"/>
              <w:szCs w:val="28"/>
              <w14:textFill>
                <w14:solidFill>
                  <w14:schemeClr w14:val="tx1"/>
                </w14:solidFill>
              </w14:textFill>
            </w:rPr>
            <w:tab/>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color w:val="000000" w:themeColor="text1"/>
              <w:sz w:val="28"/>
              <w:szCs w:val="28"/>
              <w14:textFill>
                <w14:solidFill>
                  <w14:schemeClr w14:val="tx1"/>
                </w14:solidFill>
              </w14:textFill>
            </w:rPr>
            <w:instrText xml:space="preserve"> PAGEREF _Toc15173 \h </w:instrTex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6</w: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"_Toc14348"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投标人须知正文部分</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_Toc14348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9</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"_Toc9795"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 总则</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_Toc9795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9</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"_Toc9325"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2. 招标文件</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_Toc9325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11</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"_Toc11313"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3. 投标文件</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_Toc11313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12</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"_Toc14351"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4. 投标</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_Toc14351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14</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"_Toc27941"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5. 开标</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_Toc27941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15</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"_Toc15684"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6. 评标</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_Toc15684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16</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"_Toc21108"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7. 合同授予</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_Toc21108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17</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"_Toc18221"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8.重新招标、不再招标和终止招标</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_Toc18221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17</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"_Toc15699"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9. 纪律和监督</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_Toc15699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18</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"_Toc19040"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10. 需要补充的其他内容</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_Toc19040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19</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219"/>
            <w:tabs>
              <w:tab w:val="right" w:leader="dot" w:pos="9020"/>
            </w:tabs>
            <w:spacing w:line="500" w:lineRule="exact"/>
            <w:ind w:firstLine="400" w:firstLineChars="200"/>
            <w:rPr>
              <w:rFonts w:asciiTheme="minorEastAsia" w:hAnsiTheme="minorEastAsia" w:eastAsiaTheme="minorEastAsia" w:cstheme="minorEastAsia"/>
              <w:b/>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"_Toc17726"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第三章  评标办法（综合评估法）</w:t>
          </w:r>
          <w:r>
            <w:rPr>
              <w:rFonts w:hint="eastAsia" w:asciiTheme="minorEastAsia" w:hAnsiTheme="minorEastAsia" w:eastAsiaTheme="minorEastAsia" w:cstheme="minorEastAsia"/>
              <w:b/>
              <w:color w:val="000000" w:themeColor="text1"/>
              <w:sz w:val="28"/>
              <w:szCs w:val="28"/>
              <w14:textFill>
                <w14:solidFill>
                  <w14:schemeClr w14:val="tx1"/>
                </w14:solidFill>
              </w14:textFill>
            </w:rPr>
            <w:tab/>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color w:val="000000" w:themeColor="text1"/>
              <w:sz w:val="28"/>
              <w:szCs w:val="28"/>
              <w14:textFill>
                <w14:solidFill>
                  <w14:schemeClr w14:val="tx1"/>
                </w14:solidFill>
              </w14:textFill>
            </w:rPr>
            <w:instrText xml:space="preserve"> PAGEREF _Toc17726 \h </w:instrTex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23</w: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"_Toc7486"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评标办法前附表</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_Toc7486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23</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"_Toc22580"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t>1. 评标方法</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_Toc22580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23</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"_Toc10592"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t>2. 评审标准</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_Toc10592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25</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"_Toc3811"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t>3. 评标程序</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_Toc3811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26</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5"/>
            <w:tabs>
              <w:tab w:val="right" w:leader="dot" w:pos="9020"/>
            </w:tabs>
            <w:spacing w:line="500" w:lineRule="exact"/>
            <w:ind w:left="0" w:leftChars="0" w:firstLine="40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"_Toc30135"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t>4. 特殊情况的处置程序</w:t>
          </w:r>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PAGEREF _Toc30135 \h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8"/>
              <w:szCs w:val="28"/>
              <w14:textFill>
                <w14:solidFill>
                  <w14:schemeClr w14:val="tx1"/>
                </w14:solidFill>
              </w14:textFill>
            </w:rPr>
            <w:t>28</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219"/>
            <w:tabs>
              <w:tab w:val="right" w:leader="dot" w:pos="9020"/>
            </w:tabs>
            <w:spacing w:line="500" w:lineRule="exact"/>
            <w:ind w:firstLine="400" w:firstLineChars="200"/>
            <w:rPr>
              <w:rFonts w:asciiTheme="minorEastAsia" w:hAnsiTheme="minorEastAsia" w:eastAsiaTheme="minorEastAsia" w:cstheme="minorEastAsia"/>
              <w:b/>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"_Toc21456"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第四章 合同条款及格式</w:t>
          </w:r>
          <w:r>
            <w:rPr>
              <w:rFonts w:hint="eastAsia" w:asciiTheme="minorEastAsia" w:hAnsiTheme="minorEastAsia" w:eastAsiaTheme="minorEastAsia" w:cstheme="minorEastAsia"/>
              <w:b/>
              <w:color w:val="000000" w:themeColor="text1"/>
              <w:sz w:val="28"/>
              <w:szCs w:val="28"/>
              <w14:textFill>
                <w14:solidFill>
                  <w14:schemeClr w14:val="tx1"/>
                </w14:solidFill>
              </w14:textFill>
            </w:rPr>
            <w:tab/>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color w:val="000000" w:themeColor="text1"/>
              <w:sz w:val="28"/>
              <w:szCs w:val="28"/>
              <w14:textFill>
                <w14:solidFill>
                  <w14:schemeClr w14:val="tx1"/>
                </w14:solidFill>
              </w14:textFill>
            </w:rPr>
            <w:instrText xml:space="preserve"> PAGEREF _Toc21456 \h </w:instrTex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29</w: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p>
        <w:p>
          <w:pPr>
            <w:pStyle w:val="219"/>
            <w:tabs>
              <w:tab w:val="right" w:leader="dot" w:pos="9020"/>
            </w:tabs>
            <w:spacing w:line="500" w:lineRule="exact"/>
            <w:ind w:firstLine="400" w:firstLineChars="200"/>
            <w:rPr>
              <w:rFonts w:asciiTheme="minorEastAsia" w:hAnsiTheme="minorEastAsia" w:eastAsiaTheme="minorEastAsia" w:cstheme="minorEastAsia"/>
              <w:b/>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"_Toc17026"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第五章 商务及技术要求</w:t>
          </w:r>
          <w:r>
            <w:rPr>
              <w:rFonts w:hint="eastAsia" w:asciiTheme="minorEastAsia" w:hAnsiTheme="minorEastAsia" w:eastAsiaTheme="minorEastAsia" w:cstheme="minorEastAsia"/>
              <w:b/>
              <w:color w:val="000000" w:themeColor="text1"/>
              <w:sz w:val="28"/>
              <w:szCs w:val="28"/>
              <w14:textFill>
                <w14:solidFill>
                  <w14:schemeClr w14:val="tx1"/>
                </w14:solidFill>
              </w14:textFill>
            </w:rPr>
            <w:tab/>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color w:val="000000" w:themeColor="text1"/>
              <w:sz w:val="28"/>
              <w:szCs w:val="28"/>
              <w14:textFill>
                <w14:solidFill>
                  <w14:schemeClr w14:val="tx1"/>
                </w14:solidFill>
              </w14:textFill>
            </w:rPr>
            <w:instrText xml:space="preserve"> PAGEREF _Toc17026 \h </w:instrTex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37</w: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p>
        <w:p>
          <w:pPr>
            <w:pStyle w:val="219"/>
            <w:tabs>
              <w:tab w:val="right" w:leader="dot" w:pos="9020"/>
            </w:tabs>
            <w:spacing w:line="500" w:lineRule="exact"/>
            <w:ind w:firstLine="400" w:firstLineChars="200"/>
            <w:rPr>
              <w:rFonts w:asciiTheme="minorEastAsia" w:hAnsiTheme="minorEastAsia" w:eastAsiaTheme="minorEastAsia" w:cstheme="minorEastAsia"/>
              <w:b/>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"_Toc10667" </w:instrText>
          </w:r>
          <w:r>
            <w:rPr>
              <w:color w:val="000000" w:themeColor="text1"/>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第六章 投标文件格式</w:t>
          </w:r>
          <w:r>
            <w:rPr>
              <w:rFonts w:hint="eastAsia" w:asciiTheme="minorEastAsia" w:hAnsiTheme="minorEastAsia" w:eastAsiaTheme="minorEastAsia" w:cstheme="minorEastAsia"/>
              <w:b/>
              <w:color w:val="000000" w:themeColor="text1"/>
              <w:sz w:val="28"/>
              <w:szCs w:val="28"/>
              <w14:textFill>
                <w14:solidFill>
                  <w14:schemeClr w14:val="tx1"/>
                </w14:solidFill>
              </w14:textFill>
            </w:rPr>
            <w:tab/>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color w:val="000000" w:themeColor="text1"/>
              <w:sz w:val="28"/>
              <w:szCs w:val="28"/>
              <w14:textFill>
                <w14:solidFill>
                  <w14:schemeClr w14:val="tx1"/>
                </w14:solidFill>
              </w14:textFill>
            </w:rPr>
            <w:instrText xml:space="preserve"> PAGEREF _Toc10667 \h </w:instrTex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
              <w:color w:val="000000" w:themeColor="text1"/>
              <w:sz w:val="28"/>
              <w:szCs w:val="28"/>
              <w14:textFill>
                <w14:solidFill>
                  <w14:schemeClr w14:val="tx1"/>
                </w14:solidFill>
              </w14:textFill>
            </w:rPr>
            <w:t>42</w:t>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b/>
              <w:color w:val="000000" w:themeColor="text1"/>
              <w:sz w:val="28"/>
              <w:szCs w:val="28"/>
              <w14:textFill>
                <w14:solidFill>
                  <w14:schemeClr w14:val="tx1"/>
                </w14:solidFill>
              </w14:textFill>
            </w:rPr>
            <w:fldChar w:fldCharType="end"/>
          </w:r>
        </w:p>
        <w:p>
          <w:pPr>
            <w:pStyle w:val="32"/>
            <w:tabs>
              <w:tab w:val="right" w:leader="dot" w:pos="8902"/>
              <w:tab w:val="clear" w:pos="8296"/>
            </w:tabs>
            <w:spacing w:line="500" w:lineRule="exact"/>
            <w:ind w:left="0" w:leftChars="0" w:firstLine="562" w:firstLineChars="200"/>
            <w:jc w:val="left"/>
            <w:rPr>
              <w:rFonts w:ascii="宋体" w:hAnsi="宋体"/>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sdtContent>
    </w:sdt>
    <w:p>
      <w:pPr>
        <w:pStyle w:val="37"/>
        <w:tabs>
          <w:tab w:val="right" w:leader="dot" w:pos="8902"/>
          <w:tab w:val="clear" w:pos="8296"/>
        </w:tabs>
        <w:spacing w:line="500" w:lineRule="exact"/>
        <w:ind w:left="420"/>
        <w:rPr>
          <w:rFonts w:ascii="宋体" w:hAnsi="宋体"/>
          <w:color w:val="000000" w:themeColor="text1"/>
          <w:szCs w:val="24"/>
          <w14:textFill>
            <w14:solidFill>
              <w14:schemeClr w14:val="tx1"/>
            </w14:solidFill>
          </w14:textFill>
        </w:rPr>
      </w:pPr>
    </w:p>
    <w:p>
      <w:pPr>
        <w:spacing w:line="480" w:lineRule="exact"/>
        <w:ind w:firstLine="480" w:firstLineChars="200"/>
        <w:jc w:val="left"/>
        <w:rPr>
          <w:rFonts w:ascii="宋体" w:hAnsi="宋体" w:cs="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fldChar w:fldCharType="end"/>
      </w:r>
    </w:p>
    <w:bookmarkEnd w:id="8"/>
    <w:bookmarkEnd w:id="9"/>
    <w:p>
      <w:pPr>
        <w:spacing w:line="440" w:lineRule="exact"/>
        <w:rPr>
          <w:rFonts w:ascii="宋体" w:hAnsi="宋体" w:cs="宋体"/>
          <w:color w:val="000000" w:themeColor="text1"/>
          <w14:textFill>
            <w14:solidFill>
              <w14:schemeClr w14:val="tx1"/>
            </w14:solidFill>
          </w14:textFill>
        </w:rPr>
      </w:pPr>
    </w:p>
    <w:bookmarkEnd w:id="10"/>
    <w:bookmarkEnd w:id="11"/>
    <w:p>
      <w:pPr>
        <w:pStyle w:val="5"/>
        <w:rPr>
          <w:color w:val="000000" w:themeColor="text1"/>
          <w14:textFill>
            <w14:solidFill>
              <w14:schemeClr w14:val="tx1"/>
            </w14:solidFill>
          </w14:textFill>
        </w:rPr>
      </w:pPr>
      <w:bookmarkStart w:id="12" w:name="_Toc20854"/>
      <w:bookmarkStart w:id="13" w:name="_Toc3307"/>
      <w:bookmarkStart w:id="14" w:name="_Toc29960"/>
      <w:bookmarkStart w:id="15" w:name="_Toc8565"/>
      <w:bookmarkStart w:id="16" w:name="_Toc522293503"/>
      <w:r>
        <w:rPr>
          <w:rFonts w:hint="eastAsia"/>
          <w:color w:val="000000" w:themeColor="text1"/>
          <w14:textFill>
            <w14:solidFill>
              <w14:schemeClr w14:val="tx1"/>
            </w14:solidFill>
          </w14:textFill>
        </w:rPr>
        <w:t>第一章  招标公告</w:t>
      </w:r>
      <w:bookmarkEnd w:id="12"/>
      <w:bookmarkEnd w:id="13"/>
      <w:bookmarkEnd w:id="14"/>
      <w:bookmarkEnd w:id="15"/>
    </w:p>
    <w:p>
      <w:pPr>
        <w:spacing w:line="460" w:lineRule="exact"/>
        <w:ind w:firstLine="562" w:firstLineChars="200"/>
        <w:jc w:val="left"/>
        <w:rPr>
          <w:rFonts w:ascii="宋体" w:hAnsi="宋体" w:cs="宋体"/>
          <w:b/>
          <w:color w:val="000000" w:themeColor="text1"/>
          <w:sz w:val="28"/>
          <w:szCs w:val="28"/>
          <w14:textFill>
            <w14:solidFill>
              <w14:schemeClr w14:val="tx1"/>
            </w14:solidFill>
          </w14:textFill>
        </w:rPr>
      </w:pPr>
      <w:bookmarkStart w:id="17" w:name="_Toc8140"/>
      <w:r>
        <w:rPr>
          <w:rFonts w:hint="eastAsia" w:ascii="宋体" w:hAnsi="宋体" w:cs="宋体"/>
          <w:b/>
          <w:color w:val="000000" w:themeColor="text1"/>
          <w:sz w:val="28"/>
          <w:szCs w:val="28"/>
          <w14:textFill>
            <w14:solidFill>
              <w14:schemeClr w14:val="tx1"/>
            </w14:solidFill>
          </w14:textFill>
        </w:rPr>
        <w:t>1.招标条件</w:t>
      </w:r>
    </w:p>
    <w:p>
      <w:pPr>
        <w:spacing w:line="460" w:lineRule="exact"/>
        <w:ind w:firstLine="560" w:firstLineChars="200"/>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湖北兴焱工程咨询有限公司受宜昌长江三峡旅游客运有限公司委托，现就“宜昌长江三峡旅游客运有限公司门卫、安检、水陆实名制服务外包”进行公开招标，选定服务机构。</w:t>
      </w:r>
    </w:p>
    <w:p>
      <w:pPr>
        <w:spacing w:line="460" w:lineRule="exact"/>
        <w:ind w:firstLine="562" w:firstLineChars="200"/>
        <w:jc w:val="left"/>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2.项目概况与招标范围</w:t>
      </w:r>
    </w:p>
    <w:p>
      <w:pPr>
        <w:spacing w:line="460" w:lineRule="exact"/>
        <w:ind w:firstLine="560" w:firstLineChars="200"/>
        <w:jc w:val="left"/>
        <w:rPr>
          <w:rFonts w:hint="eastAsia"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2.1项目名称：宜昌长江三峡旅游客运有限公司门卫、安检、水陆实名制服务外包</w:t>
      </w:r>
    </w:p>
    <w:p>
      <w:pPr>
        <w:spacing w:line="460" w:lineRule="exact"/>
        <w:ind w:firstLine="560" w:firstLineChars="200"/>
        <w:jc w:val="left"/>
        <w:rPr>
          <w:rFonts w:hint="eastAsia"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2.2采购内容：所需岗位服务人数为东停车场岗6人、实名制查验岗1人、行李安检岗1人、西停车场岗3人、三峡游客中心大楼夜巡岗2人。具体工作内容及要求详见第五章商务及技术要求。</w:t>
      </w:r>
    </w:p>
    <w:p>
      <w:pPr>
        <w:spacing w:line="460" w:lineRule="exact"/>
        <w:ind w:firstLine="560" w:firstLineChars="200"/>
        <w:jc w:val="left"/>
        <w:rPr>
          <w:rFonts w:hint="eastAsia"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2.3资金来源：业主自筹。</w:t>
      </w:r>
    </w:p>
    <w:p>
      <w:pPr>
        <w:spacing w:line="460" w:lineRule="exact"/>
        <w:ind w:firstLine="560" w:firstLineChars="200"/>
        <w:jc w:val="left"/>
        <w:rPr>
          <w:rFonts w:hint="eastAsia"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2.4服务地点：业主指定地点。</w:t>
      </w:r>
    </w:p>
    <w:p>
      <w:pPr>
        <w:spacing w:line="460" w:lineRule="exact"/>
        <w:ind w:firstLine="560" w:firstLineChars="200"/>
        <w:jc w:val="left"/>
        <w:rPr>
          <w:rFonts w:hint="eastAsia"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2.5服务期限：1年。</w:t>
      </w:r>
    </w:p>
    <w:p>
      <w:pPr>
        <w:spacing w:line="460" w:lineRule="exact"/>
        <w:ind w:firstLine="560" w:firstLineChars="200"/>
        <w:jc w:val="left"/>
        <w:rPr>
          <w:rFonts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2.6项目招标控制价：人民币肆拾柒万柒仟元整（¥477000.00元）。</w:t>
      </w:r>
    </w:p>
    <w:p>
      <w:pPr>
        <w:spacing w:line="460" w:lineRule="exact"/>
        <w:ind w:firstLine="562" w:firstLineChars="200"/>
        <w:jc w:val="left"/>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3.投标人资格要求</w:t>
      </w:r>
    </w:p>
    <w:p>
      <w:pPr>
        <w:pStyle w:val="243"/>
        <w:shd w:val="clear" w:color="auto" w:fill="FFFFFF"/>
        <w:spacing w:line="460" w:lineRule="exact"/>
        <w:ind w:firstLine="562" w:firstLineChars="200"/>
        <w:rPr>
          <w:rFonts w:hint="eastAsia"/>
          <w:b/>
          <w:bCs/>
          <w:color w:val="000000" w:themeColor="text1"/>
          <w:sz w:val="28"/>
          <w:szCs w:val="28"/>
          <w:lang w:val="zh-CN"/>
          <w14:textFill>
            <w14:solidFill>
              <w14:schemeClr w14:val="tx1"/>
            </w14:solidFill>
          </w14:textFill>
        </w:rPr>
      </w:pPr>
      <w:r>
        <w:rPr>
          <w:rFonts w:hint="eastAsia"/>
          <w:b/>
          <w:bCs/>
          <w:color w:val="000000" w:themeColor="text1"/>
          <w:sz w:val="28"/>
          <w:szCs w:val="28"/>
          <w:lang w:val="zh-CN"/>
          <w14:textFill>
            <w14:solidFill>
              <w14:schemeClr w14:val="tx1"/>
            </w14:solidFill>
          </w14:textFill>
        </w:rPr>
        <w:t>本项目对投标人的资格审查采用资格后审方式，资格审查标准如下（详细内容和要求见招标文件）：</w:t>
      </w:r>
    </w:p>
    <w:p>
      <w:pPr>
        <w:pStyle w:val="243"/>
        <w:shd w:val="clear" w:color="auto" w:fill="FFFFFF"/>
        <w:spacing w:line="460" w:lineRule="exact"/>
        <w:ind w:firstLine="560" w:firstLineChars="200"/>
        <w:rPr>
          <w:rFonts w:hint="eastAsia"/>
          <w:b w:val="0"/>
          <w:bCs w:val="0"/>
          <w:color w:val="000000" w:themeColor="text1"/>
          <w:sz w:val="28"/>
          <w:szCs w:val="28"/>
          <w:lang w:val="zh-CN"/>
          <w14:textFill>
            <w14:solidFill>
              <w14:schemeClr w14:val="tx1"/>
            </w14:solidFill>
          </w14:textFill>
        </w:rPr>
      </w:pPr>
      <w:r>
        <w:rPr>
          <w:rFonts w:hint="eastAsia"/>
          <w:b w:val="0"/>
          <w:bCs w:val="0"/>
          <w:color w:val="000000" w:themeColor="text1"/>
          <w:sz w:val="28"/>
          <w:szCs w:val="28"/>
          <w:lang w:val="zh-CN"/>
          <w14:textFill>
            <w14:solidFill>
              <w14:schemeClr w14:val="tx1"/>
            </w14:solidFill>
          </w14:textFill>
        </w:rPr>
        <w:t>3.1具备有效的法人营业执照，且不得以分公司名义进行投标，投标文件的单位盖章必须使用其法人公章，分公司盖章无效；（提供营业执照复印件加盖单位公章）</w:t>
      </w:r>
    </w:p>
    <w:p>
      <w:pPr>
        <w:pStyle w:val="243"/>
        <w:shd w:val="clear" w:color="auto" w:fill="FFFFFF"/>
        <w:spacing w:line="460" w:lineRule="exact"/>
        <w:ind w:firstLine="560" w:firstLineChars="200"/>
        <w:rPr>
          <w:rFonts w:hint="eastAsia"/>
          <w:b w:val="0"/>
          <w:bCs w:val="0"/>
          <w:color w:val="000000" w:themeColor="text1"/>
          <w:sz w:val="28"/>
          <w:szCs w:val="28"/>
          <w:lang w:val="zh-CN"/>
          <w14:textFill>
            <w14:solidFill>
              <w14:schemeClr w14:val="tx1"/>
            </w14:solidFill>
          </w14:textFill>
        </w:rPr>
      </w:pPr>
      <w:r>
        <w:rPr>
          <w:rFonts w:hint="eastAsia"/>
          <w:b w:val="0"/>
          <w:bCs w:val="0"/>
          <w:color w:val="000000" w:themeColor="text1"/>
          <w:sz w:val="28"/>
          <w:szCs w:val="28"/>
          <w:lang w:val="zh-CN"/>
          <w14:textFill>
            <w14:solidFill>
              <w14:schemeClr w14:val="tx1"/>
            </w14:solidFill>
          </w14:textFill>
        </w:rPr>
        <w:t>3.2投标人必须取得公安部门核发的保安服务许可证。（提供保安服务许可证复印件加盖单位公章）</w:t>
      </w:r>
    </w:p>
    <w:p>
      <w:pPr>
        <w:pStyle w:val="243"/>
        <w:shd w:val="clear" w:color="auto" w:fill="FFFFFF"/>
        <w:spacing w:line="460" w:lineRule="exact"/>
        <w:ind w:firstLine="560" w:firstLineChars="200"/>
        <w:rPr>
          <w:rFonts w:hint="eastAsia"/>
          <w:b w:val="0"/>
          <w:bCs w:val="0"/>
          <w:color w:val="000000" w:themeColor="text1"/>
          <w:sz w:val="28"/>
          <w:szCs w:val="28"/>
          <w:lang w:val="zh-CN"/>
          <w14:textFill>
            <w14:solidFill>
              <w14:schemeClr w14:val="tx1"/>
            </w14:solidFill>
          </w14:textFill>
        </w:rPr>
      </w:pPr>
      <w:r>
        <w:rPr>
          <w:rFonts w:hint="eastAsia"/>
          <w:b w:val="0"/>
          <w:bCs w:val="0"/>
          <w:color w:val="000000" w:themeColor="text1"/>
          <w:sz w:val="28"/>
          <w:szCs w:val="28"/>
          <w:lang w:val="zh-CN"/>
          <w14:textFill>
            <w14:solidFill>
              <w14:schemeClr w14:val="tx1"/>
            </w14:solidFill>
          </w14:textFill>
        </w:rPr>
        <w:t>3.3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求对所有投标人的信用信息进行查询，做好记录，由评标委员会按招标文件的规定进行评审。）</w:t>
      </w:r>
    </w:p>
    <w:p>
      <w:pPr>
        <w:pStyle w:val="243"/>
        <w:shd w:val="clear" w:color="auto" w:fill="FFFFFF"/>
        <w:spacing w:line="460" w:lineRule="exact"/>
        <w:ind w:firstLine="560" w:firstLineChars="200"/>
        <w:rPr>
          <w:rFonts w:hint="eastAsia"/>
          <w:b w:val="0"/>
          <w:bCs w:val="0"/>
          <w:color w:val="000000" w:themeColor="text1"/>
          <w:sz w:val="28"/>
          <w:szCs w:val="28"/>
          <w:lang w:val="zh-CN"/>
          <w14:textFill>
            <w14:solidFill>
              <w14:schemeClr w14:val="tx1"/>
            </w14:solidFill>
          </w14:textFill>
        </w:rPr>
      </w:pPr>
      <w:r>
        <w:rPr>
          <w:rFonts w:hint="eastAsia"/>
          <w:b w:val="0"/>
          <w:bCs w:val="0"/>
          <w:color w:val="000000" w:themeColor="text1"/>
          <w:sz w:val="28"/>
          <w:szCs w:val="28"/>
          <w:lang w:val="zh-CN"/>
          <w14:textFill>
            <w14:solidFill>
              <w14:schemeClr w14:val="tx1"/>
            </w14:solidFill>
          </w14:textFill>
        </w:rPr>
        <w:t>3.4单位负责人为同一人或者存在控股、管理关系的不同单位，不得参加同一项目投标；与招标人存在利害关系可能影响招标公正性的法人、其他组织或者个人，不得参加投标；</w:t>
      </w:r>
    </w:p>
    <w:p>
      <w:pPr>
        <w:pStyle w:val="243"/>
        <w:shd w:val="clear" w:color="auto" w:fill="FFFFFF"/>
        <w:spacing w:line="460" w:lineRule="exact"/>
        <w:ind w:firstLine="560" w:firstLineChars="200"/>
        <w:rPr>
          <w:rFonts w:hint="eastAsia"/>
          <w:b/>
          <w:bCs/>
          <w:color w:val="000000" w:themeColor="text1"/>
          <w:sz w:val="28"/>
          <w:szCs w:val="28"/>
          <w:lang w:val="zh-CN"/>
          <w14:textFill>
            <w14:solidFill>
              <w14:schemeClr w14:val="tx1"/>
            </w14:solidFill>
          </w14:textFill>
        </w:rPr>
      </w:pPr>
      <w:r>
        <w:rPr>
          <w:rFonts w:hint="eastAsia"/>
          <w:b w:val="0"/>
          <w:bCs w:val="0"/>
          <w:color w:val="000000" w:themeColor="text1"/>
          <w:sz w:val="28"/>
          <w:szCs w:val="28"/>
          <w:lang w:val="zh-CN"/>
          <w14:textFill>
            <w14:solidFill>
              <w14:schemeClr w14:val="tx1"/>
            </w14:solidFill>
          </w14:textFill>
        </w:rPr>
        <w:t>3.5本项目不接受联合体投标，投标人必须以独立投标人身份参与投标。</w:t>
      </w:r>
    </w:p>
    <w:p>
      <w:pPr>
        <w:pStyle w:val="243"/>
        <w:shd w:val="clear" w:color="auto" w:fill="FFFFFF"/>
        <w:spacing w:line="460" w:lineRule="exact"/>
        <w:ind w:firstLine="562" w:firstLineChars="200"/>
        <w:rPr>
          <w:b/>
          <w:bCs/>
          <w:color w:val="000000" w:themeColor="text1"/>
          <w:sz w:val="28"/>
          <w:szCs w:val="28"/>
          <w:lang w:val="zh-CN"/>
          <w14:textFill>
            <w14:solidFill>
              <w14:schemeClr w14:val="tx1"/>
            </w14:solidFill>
          </w14:textFill>
        </w:rPr>
      </w:pPr>
      <w:r>
        <w:rPr>
          <w:rFonts w:hint="eastAsia"/>
          <w:b/>
          <w:bCs/>
          <w:color w:val="000000" w:themeColor="text1"/>
          <w:sz w:val="28"/>
          <w:szCs w:val="28"/>
          <w:lang w:val="zh-CN"/>
          <w14:textFill>
            <w14:solidFill>
              <w14:schemeClr w14:val="tx1"/>
            </w14:solidFill>
          </w14:textFill>
        </w:rPr>
        <w:t>投标人在制作投标文件时，应对照上述资格审查要求，提供证明材料原件的复印件并加盖投标单位公章，否则评委将不予采信。</w:t>
      </w:r>
    </w:p>
    <w:p>
      <w:pPr>
        <w:spacing w:line="460" w:lineRule="exact"/>
        <w:ind w:firstLine="562" w:firstLineChars="200"/>
        <w:jc w:val="left"/>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4.招标文件的发放时间和获取方法：</w:t>
      </w:r>
    </w:p>
    <w:p>
      <w:pPr>
        <w:spacing w:line="460" w:lineRule="exact"/>
        <w:ind w:firstLine="560" w:firstLineChars="200"/>
        <w:jc w:val="left"/>
        <w:rPr>
          <w:rFonts w:ascii="宋体" w:hAnsi="宋体" w:cs="宋体"/>
          <w:b w:val="0"/>
          <w:bCs/>
          <w:color w:val="000000" w:themeColor="text1"/>
          <w:sz w:val="28"/>
          <w:szCs w:val="28"/>
          <w14:textFill>
            <w14:solidFill>
              <w14:schemeClr w14:val="tx1"/>
            </w14:solidFill>
          </w14:textFill>
        </w:rPr>
      </w:pPr>
      <w:r>
        <w:rPr>
          <w:rFonts w:hint="eastAsia" w:ascii="宋体" w:hAnsi="宋体" w:cs="宋体"/>
          <w:b w:val="0"/>
          <w:bCs/>
          <w:color w:val="000000" w:themeColor="text1"/>
          <w:sz w:val="28"/>
          <w:szCs w:val="28"/>
          <w14:textFill>
            <w14:solidFill>
              <w14:schemeClr w14:val="tx1"/>
            </w14:solidFill>
          </w14:textFill>
        </w:rPr>
        <w:t>（1）招标文件下载时间为：2021年</w:t>
      </w:r>
      <w:r>
        <w:rPr>
          <w:rFonts w:hint="eastAsia" w:ascii="宋体" w:hAnsi="宋体" w:cs="宋体"/>
          <w:b w:val="0"/>
          <w:bCs/>
          <w:color w:val="000000" w:themeColor="text1"/>
          <w:sz w:val="28"/>
          <w:szCs w:val="28"/>
          <w:lang w:val="en-US" w:eastAsia="zh-CN"/>
          <w14:textFill>
            <w14:solidFill>
              <w14:schemeClr w14:val="tx1"/>
            </w14:solidFill>
          </w14:textFill>
        </w:rPr>
        <w:t>9</w:t>
      </w:r>
      <w:r>
        <w:rPr>
          <w:rFonts w:hint="eastAsia" w:ascii="宋体" w:hAnsi="宋体" w:cs="宋体"/>
          <w:b w:val="0"/>
          <w:bCs/>
          <w:color w:val="000000" w:themeColor="text1"/>
          <w:sz w:val="28"/>
          <w:szCs w:val="28"/>
          <w14:textFill>
            <w14:solidFill>
              <w14:schemeClr w14:val="tx1"/>
            </w14:solidFill>
          </w14:textFill>
        </w:rPr>
        <w:t>月</w:t>
      </w:r>
      <w:r>
        <w:rPr>
          <w:rFonts w:hint="eastAsia" w:ascii="宋体" w:hAnsi="宋体" w:cs="宋体"/>
          <w:b w:val="0"/>
          <w:bCs/>
          <w:color w:val="000000" w:themeColor="text1"/>
          <w:sz w:val="28"/>
          <w:szCs w:val="28"/>
          <w:lang w:val="en-US" w:eastAsia="zh-CN"/>
          <w14:textFill>
            <w14:solidFill>
              <w14:schemeClr w14:val="tx1"/>
            </w14:solidFill>
          </w14:textFill>
        </w:rPr>
        <w:t>30</w:t>
      </w:r>
      <w:r>
        <w:rPr>
          <w:rFonts w:hint="eastAsia" w:ascii="宋体" w:hAnsi="宋体" w:cs="宋体"/>
          <w:b w:val="0"/>
          <w:bCs/>
          <w:color w:val="000000" w:themeColor="text1"/>
          <w:sz w:val="28"/>
          <w:szCs w:val="28"/>
          <w14:textFill>
            <w14:solidFill>
              <w14:schemeClr w14:val="tx1"/>
            </w14:solidFill>
          </w14:textFill>
        </w:rPr>
        <w:t>日至2021年</w:t>
      </w:r>
      <w:r>
        <w:rPr>
          <w:rFonts w:hint="eastAsia" w:ascii="宋体" w:hAnsi="宋体" w:cs="宋体"/>
          <w:b w:val="0"/>
          <w:bCs/>
          <w:color w:val="000000" w:themeColor="text1"/>
          <w:sz w:val="28"/>
          <w:szCs w:val="28"/>
          <w:lang w:val="en-US" w:eastAsia="zh-CN"/>
          <w14:textFill>
            <w14:solidFill>
              <w14:schemeClr w14:val="tx1"/>
            </w14:solidFill>
          </w14:textFill>
        </w:rPr>
        <w:t>11</w:t>
      </w:r>
      <w:r>
        <w:rPr>
          <w:rFonts w:hint="eastAsia" w:ascii="宋体" w:hAnsi="宋体" w:cs="宋体"/>
          <w:b w:val="0"/>
          <w:bCs/>
          <w:color w:val="000000" w:themeColor="text1"/>
          <w:sz w:val="28"/>
          <w:szCs w:val="28"/>
          <w14:textFill>
            <w14:solidFill>
              <w14:schemeClr w14:val="tx1"/>
            </w14:solidFill>
          </w14:textFill>
        </w:rPr>
        <w:t>月</w:t>
      </w:r>
      <w:r>
        <w:rPr>
          <w:rFonts w:hint="eastAsia" w:ascii="宋体" w:hAnsi="宋体" w:cs="宋体"/>
          <w:b w:val="0"/>
          <w:bCs/>
          <w:color w:val="000000" w:themeColor="text1"/>
          <w:sz w:val="28"/>
          <w:szCs w:val="28"/>
          <w:lang w:val="en-US" w:eastAsia="zh-CN"/>
          <w14:textFill>
            <w14:solidFill>
              <w14:schemeClr w14:val="tx1"/>
            </w14:solidFill>
          </w14:textFill>
        </w:rPr>
        <w:t>1</w:t>
      </w:r>
      <w:r>
        <w:rPr>
          <w:rFonts w:hint="eastAsia" w:ascii="宋体" w:hAnsi="宋体" w:cs="宋体"/>
          <w:b w:val="0"/>
          <w:bCs/>
          <w:color w:val="000000" w:themeColor="text1"/>
          <w:sz w:val="28"/>
          <w:szCs w:val="28"/>
          <w14:textFill>
            <w14:solidFill>
              <w14:schemeClr w14:val="tx1"/>
            </w14:solidFill>
          </w14:textFill>
        </w:rPr>
        <w:t>日</w:t>
      </w:r>
      <w:r>
        <w:rPr>
          <w:rFonts w:hint="eastAsia" w:ascii="宋体" w:hAnsi="宋体" w:cs="宋体"/>
          <w:b w:val="0"/>
          <w:bCs/>
          <w:color w:val="000000" w:themeColor="text1"/>
          <w:sz w:val="28"/>
          <w:szCs w:val="28"/>
          <w:lang w:val="en-US" w:eastAsia="zh-CN"/>
          <w14:textFill>
            <w14:solidFill>
              <w14:schemeClr w14:val="tx1"/>
            </w14:solidFill>
          </w14:textFill>
        </w:rPr>
        <w:t>14</w:t>
      </w:r>
      <w:r>
        <w:rPr>
          <w:rFonts w:hint="eastAsia" w:ascii="宋体" w:hAnsi="宋体" w:cs="宋体"/>
          <w:b w:val="0"/>
          <w:bCs/>
          <w:color w:val="000000" w:themeColor="text1"/>
          <w:sz w:val="28"/>
          <w:szCs w:val="28"/>
          <w14:textFill>
            <w14:solidFill>
              <w14:schemeClr w14:val="tx1"/>
            </w14:solidFill>
          </w14:textFill>
        </w:rPr>
        <w:t>时</w:t>
      </w:r>
      <w:r>
        <w:rPr>
          <w:rFonts w:hint="eastAsia" w:ascii="宋体" w:hAnsi="宋体" w:cs="宋体"/>
          <w:b w:val="0"/>
          <w:bCs/>
          <w:color w:val="000000" w:themeColor="text1"/>
          <w:sz w:val="28"/>
          <w:szCs w:val="28"/>
          <w:lang w:val="en-US" w:eastAsia="zh-CN"/>
          <w14:textFill>
            <w14:solidFill>
              <w14:schemeClr w14:val="tx1"/>
            </w14:solidFill>
          </w14:textFill>
        </w:rPr>
        <w:t>30分</w:t>
      </w:r>
      <w:r>
        <w:rPr>
          <w:rFonts w:hint="eastAsia" w:ascii="宋体" w:hAnsi="宋体" w:cs="宋体"/>
          <w:b w:val="0"/>
          <w:bCs/>
          <w:color w:val="000000" w:themeColor="text1"/>
          <w:sz w:val="28"/>
          <w:szCs w:val="28"/>
          <w14:textFill>
            <w14:solidFill>
              <w14:schemeClr w14:val="tx1"/>
            </w14:solidFill>
          </w14:textFill>
        </w:rPr>
        <w:t>。</w:t>
      </w:r>
    </w:p>
    <w:p>
      <w:pPr>
        <w:spacing w:line="460" w:lineRule="exact"/>
        <w:ind w:firstLine="560" w:firstLineChars="200"/>
        <w:jc w:val="left"/>
        <w:rPr>
          <w:rFonts w:ascii="宋体" w:hAnsi="宋体" w:cs="宋体"/>
          <w:b/>
          <w:color w:val="000000" w:themeColor="text1"/>
          <w:sz w:val="28"/>
          <w:szCs w:val="28"/>
          <w14:textFill>
            <w14:solidFill>
              <w14:schemeClr w14:val="tx1"/>
            </w14:solidFill>
          </w14:textFill>
        </w:rPr>
      </w:pPr>
      <w:r>
        <w:rPr>
          <w:rFonts w:hint="eastAsia" w:ascii="宋体" w:hAnsi="宋体" w:cs="宋体"/>
          <w:b w:val="0"/>
          <w:bCs/>
          <w:color w:val="000000" w:themeColor="text1"/>
          <w:sz w:val="28"/>
          <w:szCs w:val="28"/>
          <w14:textFill>
            <w14:solidFill>
              <w14:schemeClr w14:val="tx1"/>
            </w14:solidFill>
          </w14:textFill>
        </w:rPr>
        <w:t>（2）获取方法：本工程实行网上下招标文件。投标人可在湖北三峡旅游集团股份有限公司官网（http://www.hbsxly.com/）下载招标文件或注册成为宜昌交通旅游产业发展集团有限公司招标采购平台（http://zbcg.ycjljt.com:81/）网员后，登录会员专区并按网上提示免费下载招标文件及相关资料。</w:t>
      </w:r>
    </w:p>
    <w:p>
      <w:pPr>
        <w:spacing w:line="460" w:lineRule="exact"/>
        <w:ind w:firstLine="562" w:firstLineChars="200"/>
        <w:jc w:val="left"/>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5.投标文件的递交</w:t>
      </w:r>
    </w:p>
    <w:p>
      <w:pPr>
        <w:spacing w:line="460" w:lineRule="exact"/>
        <w:ind w:firstLine="562" w:firstLineChars="200"/>
        <w:jc w:val="left"/>
        <w:rPr>
          <w:rFonts w:ascii="宋体" w:hAnsi="宋体" w:cs="宋体"/>
          <w:bCs/>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投标截止时间为2021年</w:t>
      </w:r>
      <w:r>
        <w:rPr>
          <w:rFonts w:hint="eastAsia" w:ascii="宋体" w:hAnsi="宋体" w:cs="宋体"/>
          <w:b/>
          <w:color w:val="000000" w:themeColor="text1"/>
          <w:sz w:val="28"/>
          <w:szCs w:val="28"/>
          <w:lang w:val="en-US" w:eastAsia="zh-CN"/>
          <w14:textFill>
            <w14:solidFill>
              <w14:schemeClr w14:val="tx1"/>
            </w14:solidFill>
          </w14:textFill>
        </w:rPr>
        <w:t>11</w:t>
      </w:r>
      <w:r>
        <w:rPr>
          <w:rFonts w:hint="eastAsia" w:ascii="宋体" w:hAnsi="宋体" w:cs="宋体"/>
          <w:b/>
          <w:color w:val="000000" w:themeColor="text1"/>
          <w:sz w:val="28"/>
          <w:szCs w:val="28"/>
          <w14:textFill>
            <w14:solidFill>
              <w14:schemeClr w14:val="tx1"/>
            </w14:solidFill>
          </w14:textFill>
        </w:rPr>
        <w:t>月</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日</w:t>
      </w:r>
      <w:r>
        <w:rPr>
          <w:rFonts w:hint="eastAsia" w:ascii="宋体" w:hAnsi="宋体" w:cs="宋体"/>
          <w:b/>
          <w:color w:val="000000" w:themeColor="text1"/>
          <w:sz w:val="28"/>
          <w:szCs w:val="28"/>
          <w:lang w:val="en-US" w:eastAsia="zh-CN"/>
          <w14:textFill>
            <w14:solidFill>
              <w14:schemeClr w14:val="tx1"/>
            </w14:solidFill>
          </w14:textFill>
        </w:rPr>
        <w:t>14</w:t>
      </w:r>
      <w:r>
        <w:rPr>
          <w:rFonts w:hint="eastAsia" w:ascii="宋体" w:hAnsi="宋体" w:cs="宋体"/>
          <w:b/>
          <w:color w:val="000000" w:themeColor="text1"/>
          <w:sz w:val="28"/>
          <w:szCs w:val="28"/>
          <w14:textFill>
            <w14:solidFill>
              <w14:schemeClr w14:val="tx1"/>
            </w14:solidFill>
          </w14:textFill>
        </w:rPr>
        <w:t>时</w:t>
      </w:r>
      <w:r>
        <w:rPr>
          <w:rFonts w:hint="eastAsia" w:ascii="宋体" w:hAnsi="宋体" w:cs="宋体"/>
          <w:b/>
          <w:color w:val="000000" w:themeColor="text1"/>
          <w:sz w:val="28"/>
          <w:szCs w:val="28"/>
          <w:lang w:val="en-US" w:eastAsia="zh-CN"/>
          <w14:textFill>
            <w14:solidFill>
              <w14:schemeClr w14:val="tx1"/>
            </w14:solidFill>
          </w14:textFill>
        </w:rPr>
        <w:t>30</w:t>
      </w:r>
      <w:r>
        <w:rPr>
          <w:rFonts w:hint="eastAsia" w:ascii="宋体" w:hAnsi="宋体" w:cs="宋体"/>
          <w:b/>
          <w:color w:val="000000" w:themeColor="text1"/>
          <w:sz w:val="28"/>
          <w:szCs w:val="28"/>
          <w14:textFill>
            <w14:solidFill>
              <w14:schemeClr w14:val="tx1"/>
            </w14:solidFill>
          </w14:textFill>
        </w:rPr>
        <w:t>分。</w:t>
      </w:r>
      <w:r>
        <w:rPr>
          <w:rFonts w:hint="eastAsia" w:ascii="宋体" w:hAnsi="宋体" w:cs="宋体"/>
          <w:bCs/>
          <w:color w:val="000000" w:themeColor="text1"/>
          <w:sz w:val="28"/>
          <w:szCs w:val="28"/>
          <w14:textFill>
            <w14:solidFill>
              <w14:schemeClr w14:val="tx1"/>
            </w14:solidFill>
          </w14:textFill>
        </w:rPr>
        <w:t>投标人应于当日投标截止时间之前将投标文件纸质版和电子版U盘递交至宜昌交通旅游产业发展集团有限公司开标室(伍家岗区沿江大道182号首信财富中心7楼开标室)，由招标人或代理机构接收，逾期送达的或者未送达指定地点的投标文件，招标人不予受理，投标截止时间与开标时间是否有变化，请关注本次招标过程中发布的变更公告或澄清修改文件中的相关信息。</w:t>
      </w:r>
    </w:p>
    <w:p>
      <w:pPr>
        <w:pStyle w:val="2"/>
        <w:spacing w:after="0" w:line="460" w:lineRule="exact"/>
        <w:ind w:left="0" w:leftChars="0" w:firstLine="562"/>
        <w:jc w:val="left"/>
        <w:rPr>
          <w:rFonts w:cs="宋体"/>
          <w:b/>
          <w:color w:val="000000" w:themeColor="text1"/>
          <w:sz w:val="28"/>
          <w:szCs w:val="28"/>
          <w14:textFill>
            <w14:solidFill>
              <w14:schemeClr w14:val="tx1"/>
            </w14:solidFill>
          </w14:textFill>
        </w:rPr>
      </w:pPr>
      <w:r>
        <w:rPr>
          <w:rFonts w:hint="eastAsia" w:cs="宋体"/>
          <w:b/>
          <w:color w:val="000000" w:themeColor="text1"/>
          <w:sz w:val="28"/>
          <w:szCs w:val="28"/>
          <w14:textFill>
            <w14:solidFill>
              <w14:schemeClr w14:val="tx1"/>
            </w14:solidFill>
          </w14:textFill>
        </w:rPr>
        <w:t>6.开标</w:t>
      </w:r>
    </w:p>
    <w:p>
      <w:pPr>
        <w:pStyle w:val="2"/>
        <w:spacing w:after="0" w:line="460" w:lineRule="exact"/>
        <w:ind w:left="0" w:leftChars="0" w:firstLine="560"/>
        <w:jc w:val="left"/>
        <w:rPr>
          <w:color w:val="000000" w:themeColor="text1"/>
          <w14:textFill>
            <w14:solidFill>
              <w14:schemeClr w14:val="tx1"/>
            </w14:solidFill>
          </w14:textFill>
        </w:rPr>
      </w:pPr>
      <w:r>
        <w:rPr>
          <w:rFonts w:hint="eastAsia" w:cs="宋体"/>
          <w:bCs/>
          <w:color w:val="000000" w:themeColor="text1"/>
          <w:sz w:val="28"/>
          <w:szCs w:val="28"/>
          <w14:textFill>
            <w14:solidFill>
              <w14:schemeClr w14:val="tx1"/>
            </w14:solidFill>
          </w14:textFill>
        </w:rPr>
        <w:t>本项目开标会将于投标截止的同一时间在宜昌交通旅游产业发展集团有限公司开标室(伍家岗区沿江大道182号首信财富中心7楼开标室)进行。投标人的法定代表人或委托代理人应携身份证明文件（法定代表人身份证明或法人授权委托书）和第二代有效身份证原件准时参加开标会，否则由评标委员会按招标文件规定处理。</w:t>
      </w:r>
    </w:p>
    <w:p>
      <w:pPr>
        <w:spacing w:line="460" w:lineRule="exact"/>
        <w:ind w:firstLine="562" w:firstLineChars="200"/>
        <w:jc w:val="left"/>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7.</w:t>
      </w:r>
      <w:r>
        <w:rPr>
          <w:rFonts w:hint="eastAsia" w:ascii="宋体" w:hAnsi="宋体" w:cs="宋体"/>
          <w:color w:val="000000" w:themeColor="text1"/>
          <w:sz w:val="28"/>
          <w:szCs w:val="28"/>
          <w14:textFill>
            <w14:solidFill>
              <w14:schemeClr w14:val="tx1"/>
            </w14:solidFill>
          </w14:textFill>
        </w:rPr>
        <w:t>服务合同须由中标单位的法定代表人或其授权委托代理人（必须有法定代表人授权委托书）洽谈并签署，否则视为放弃中标项目。</w:t>
      </w:r>
    </w:p>
    <w:p>
      <w:pPr>
        <w:pStyle w:val="75"/>
        <w:spacing w:line="460" w:lineRule="exact"/>
        <w:ind w:firstLine="562" w:firstLineChars="200"/>
        <w:jc w:val="left"/>
        <w:rPr>
          <w:rFonts w:ascii="宋体" w:hAnsi="宋体" w:cs="宋体"/>
          <w:bCs/>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8.</w:t>
      </w:r>
      <w:r>
        <w:rPr>
          <w:rFonts w:hint="eastAsia" w:ascii="宋体" w:hAnsi="宋体" w:cs="宋体"/>
          <w:b/>
          <w:bCs/>
          <w:color w:val="000000" w:themeColor="text1"/>
          <w:sz w:val="28"/>
          <w:szCs w:val="28"/>
          <w14:textFill>
            <w14:solidFill>
              <w14:schemeClr w14:val="tx1"/>
            </w14:solidFill>
          </w14:textFill>
        </w:rPr>
        <w:t>发布公告的时间</w:t>
      </w:r>
      <w:r>
        <w:rPr>
          <w:rFonts w:hint="eastAsia" w:ascii="宋体" w:hAnsi="宋体" w:cs="宋体"/>
          <w:bCs/>
          <w:color w:val="000000" w:themeColor="text1"/>
          <w:sz w:val="28"/>
          <w:szCs w:val="28"/>
          <w14:textFill>
            <w14:solidFill>
              <w14:schemeClr w14:val="tx1"/>
            </w14:solidFill>
          </w14:textFill>
        </w:rPr>
        <w:t>：2021年</w:t>
      </w:r>
      <w:r>
        <w:rPr>
          <w:rFonts w:hint="eastAsia" w:ascii="宋体" w:hAnsi="宋体" w:cs="宋体"/>
          <w:bCs/>
          <w:color w:val="000000" w:themeColor="text1"/>
          <w:sz w:val="28"/>
          <w:szCs w:val="28"/>
          <w:lang w:val="en-US" w:eastAsia="zh-CN"/>
          <w14:textFill>
            <w14:solidFill>
              <w14:schemeClr w14:val="tx1"/>
            </w14:solidFill>
          </w14:textFill>
        </w:rPr>
        <w:t>9</w:t>
      </w:r>
      <w:r>
        <w:rPr>
          <w:rFonts w:hint="eastAsia" w:ascii="宋体" w:hAnsi="宋体" w:cs="宋体"/>
          <w:bCs/>
          <w:color w:val="000000" w:themeColor="text1"/>
          <w:sz w:val="28"/>
          <w:szCs w:val="28"/>
          <w14:textFill>
            <w14:solidFill>
              <w14:schemeClr w14:val="tx1"/>
            </w14:solidFill>
          </w14:textFill>
        </w:rPr>
        <w:t>月</w:t>
      </w:r>
      <w:r>
        <w:rPr>
          <w:rFonts w:hint="eastAsia" w:ascii="宋体" w:hAnsi="宋体" w:cs="宋体"/>
          <w:bCs/>
          <w:color w:val="000000" w:themeColor="text1"/>
          <w:sz w:val="28"/>
          <w:szCs w:val="28"/>
          <w:lang w:val="en-US" w:eastAsia="zh-CN"/>
          <w14:textFill>
            <w14:solidFill>
              <w14:schemeClr w14:val="tx1"/>
            </w14:solidFill>
          </w14:textFill>
        </w:rPr>
        <w:t>30</w:t>
      </w:r>
      <w:r>
        <w:rPr>
          <w:rFonts w:hint="eastAsia" w:ascii="宋体" w:hAnsi="宋体" w:cs="宋体"/>
          <w:bCs/>
          <w:color w:val="000000" w:themeColor="text1"/>
          <w:sz w:val="28"/>
          <w:szCs w:val="28"/>
          <w14:textFill>
            <w14:solidFill>
              <w14:schemeClr w14:val="tx1"/>
            </w14:solidFill>
          </w14:textFill>
        </w:rPr>
        <w:t xml:space="preserve">日。 </w:t>
      </w:r>
    </w:p>
    <w:p>
      <w:pPr>
        <w:spacing w:line="460" w:lineRule="exact"/>
        <w:ind w:firstLine="562" w:firstLineChars="200"/>
        <w:jc w:val="left"/>
        <w:rPr>
          <w:rFonts w:ascii="宋体" w:hAnsi="宋体" w:cs="宋体"/>
          <w:bCs/>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9.信息发布媒体：</w:t>
      </w:r>
      <w:r>
        <w:rPr>
          <w:rFonts w:hint="eastAsia" w:ascii="宋体" w:hAnsi="宋体" w:cs="宋体"/>
          <w:bCs/>
          <w:color w:val="000000" w:themeColor="text1"/>
          <w:sz w:val="28"/>
          <w:szCs w:val="28"/>
          <w14:textFill>
            <w14:solidFill>
              <w14:schemeClr w14:val="tx1"/>
            </w14:solidFill>
          </w14:textFill>
        </w:rPr>
        <w:t>湖北三峡旅游集团股份有限公司官网（http://www.hbsxly.com/）宜昌交通旅游产业发展集团有限公司招标采购平台（http://zbcg.ycjljt.com:81/）</w:t>
      </w:r>
    </w:p>
    <w:p>
      <w:pPr>
        <w:spacing w:line="460" w:lineRule="exact"/>
        <w:ind w:firstLine="562" w:firstLineChars="200"/>
        <w:jc w:val="left"/>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10.联系方式</w:t>
      </w:r>
    </w:p>
    <w:p>
      <w:pPr>
        <w:spacing w:line="460" w:lineRule="exact"/>
        <w:ind w:firstLine="560" w:firstLineChars="200"/>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招标人：宜昌长江三峡旅游客运有限公司</w:t>
      </w:r>
    </w:p>
    <w:p>
      <w:pPr>
        <w:spacing w:line="460" w:lineRule="exact"/>
        <w:ind w:firstLine="560" w:firstLineChars="200"/>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地址：宜昌市沿江大道142号</w:t>
      </w:r>
    </w:p>
    <w:p>
      <w:pPr>
        <w:spacing w:line="460" w:lineRule="exact"/>
        <w:ind w:firstLine="560" w:firstLineChars="200"/>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联系人：冯奎</w:t>
      </w:r>
    </w:p>
    <w:p>
      <w:pPr>
        <w:spacing w:line="460" w:lineRule="exact"/>
        <w:ind w:firstLine="560" w:firstLineChars="200"/>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联系电话：15671010880</w:t>
      </w:r>
    </w:p>
    <w:p>
      <w:pPr>
        <w:spacing w:line="460" w:lineRule="exact"/>
        <w:ind w:firstLine="560" w:firstLineChars="200"/>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招标代理机构：湖北兴焱工程咨询有限公司 </w:t>
      </w:r>
    </w:p>
    <w:p>
      <w:pPr>
        <w:spacing w:line="460" w:lineRule="exact"/>
        <w:ind w:firstLine="560" w:firstLineChars="200"/>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地址：宜昌市中南路35号兴发广场A座写字楼5楼</w:t>
      </w:r>
    </w:p>
    <w:p>
      <w:pPr>
        <w:spacing w:line="460" w:lineRule="exact"/>
        <w:ind w:firstLine="560" w:firstLineChars="200"/>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联系人：刘亚琴</w:t>
      </w:r>
    </w:p>
    <w:p>
      <w:pPr>
        <w:spacing w:line="460" w:lineRule="exact"/>
        <w:ind w:firstLine="560" w:firstLineChars="200"/>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联系电话：13581485135</w:t>
      </w:r>
    </w:p>
    <w:p>
      <w:pPr>
        <w:spacing w:line="460" w:lineRule="exact"/>
        <w:ind w:firstLine="560" w:firstLineChars="200"/>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日期：2021年</w:t>
      </w:r>
      <w:r>
        <w:rPr>
          <w:rFonts w:hint="eastAsia" w:ascii="宋体" w:hAnsi="宋体" w:cs="宋体"/>
          <w:color w:val="000000" w:themeColor="text1"/>
          <w:sz w:val="28"/>
          <w:szCs w:val="28"/>
          <w:lang w:val="en-US" w:eastAsia="zh-CN"/>
          <w14:textFill>
            <w14:solidFill>
              <w14:schemeClr w14:val="tx1"/>
            </w14:solidFill>
          </w14:textFill>
        </w:rPr>
        <w:t>9</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30</w:t>
      </w:r>
      <w:r>
        <w:rPr>
          <w:rFonts w:hint="eastAsia" w:ascii="宋体" w:hAnsi="宋体" w:cs="宋体"/>
          <w:color w:val="000000" w:themeColor="text1"/>
          <w:sz w:val="28"/>
          <w:szCs w:val="28"/>
          <w14:textFill>
            <w14:solidFill>
              <w14:schemeClr w14:val="tx1"/>
            </w14:solidFill>
          </w14:textFill>
        </w:rPr>
        <w:t xml:space="preserve">日  </w:t>
      </w:r>
    </w:p>
    <w:p>
      <w:pPr>
        <w:pStyle w:val="21"/>
        <w:spacing w:after="0" w:line="460" w:lineRule="exact"/>
        <w:ind w:firstLine="560" w:firstLineChars="200"/>
        <w:jc w:val="left"/>
        <w:rPr>
          <w:color w:val="000000" w:themeColor="text1"/>
          <w:sz w:val="28"/>
          <w:szCs w:val="28"/>
          <w14:textFill>
            <w14:solidFill>
              <w14:schemeClr w14:val="tx1"/>
            </w14:solidFill>
          </w14:textFill>
        </w:rPr>
      </w:pPr>
    </w:p>
    <w:p>
      <w:pPr>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5"/>
        <w:numPr>
          <w:ilvl w:val="0"/>
          <w:numId w:val="3"/>
        </w:numPr>
        <w:rPr>
          <w:color w:val="000000" w:themeColor="text1"/>
          <w14:textFill>
            <w14:solidFill>
              <w14:schemeClr w14:val="tx1"/>
            </w14:solidFill>
          </w14:textFill>
        </w:rPr>
      </w:pPr>
      <w:bookmarkStart w:id="18" w:name="_Toc16473"/>
      <w:bookmarkStart w:id="19" w:name="_Toc4861"/>
      <w:bookmarkStart w:id="20" w:name="_Toc3744"/>
      <w:bookmarkStart w:id="21" w:name="_Toc16309"/>
      <w:r>
        <w:rPr>
          <w:rFonts w:hint="eastAsia"/>
          <w:color w:val="000000" w:themeColor="text1"/>
          <w14:textFill>
            <w14:solidFill>
              <w14:schemeClr w14:val="tx1"/>
            </w14:solidFill>
          </w14:textFill>
        </w:rPr>
        <w:t xml:space="preserve"> </w:t>
      </w:r>
      <w:bookmarkStart w:id="22" w:name="_Toc15173"/>
      <w:r>
        <w:rPr>
          <w:rFonts w:hint="eastAsia"/>
          <w:color w:val="000000" w:themeColor="text1"/>
          <w14:textFill>
            <w14:solidFill>
              <w14:schemeClr w14:val="tx1"/>
            </w14:solidFill>
          </w14:textFill>
        </w:rPr>
        <w:t>投标人须知</w:t>
      </w:r>
      <w:bookmarkEnd w:id="16"/>
      <w:bookmarkEnd w:id="17"/>
      <w:bookmarkEnd w:id="18"/>
      <w:bookmarkEnd w:id="19"/>
      <w:bookmarkEnd w:id="20"/>
      <w:bookmarkEnd w:id="21"/>
      <w:bookmarkEnd w:id="22"/>
    </w:p>
    <w:p>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投标人须知前附表</w:t>
      </w:r>
    </w:p>
    <w:tbl>
      <w:tblPr>
        <w:tblStyle w:val="44"/>
        <w:tblpPr w:leftFromText="180" w:rightFromText="180" w:vertAnchor="text" w:horzAnchor="page" w:tblpX="1155" w:tblpY="461"/>
        <w:tblOverlap w:val="never"/>
        <w:tblW w:w="10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2234"/>
        <w:gridCol w:w="6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ascii="宋体" w:hAnsi="宋体" w:cs="宋体"/>
                <w:b/>
                <w:color w:val="000000" w:themeColor="text1"/>
                <w:sz w:val="28"/>
                <w:szCs w:val="28"/>
                <w14:textFill>
                  <w14:solidFill>
                    <w14:schemeClr w14:val="tx1"/>
                  </w14:solidFill>
                </w14:textFill>
              </w:rPr>
            </w:pPr>
            <w:bookmarkStart w:id="23" w:name="_Toc15101"/>
            <w:bookmarkStart w:id="24" w:name="_Toc522293504"/>
            <w:bookmarkStart w:id="25" w:name="_Toc301"/>
            <w:bookmarkStart w:id="26" w:name="_Toc31842"/>
            <w:bookmarkStart w:id="27" w:name="_Toc19055"/>
            <w:r>
              <w:rPr>
                <w:rFonts w:hint="eastAsia" w:ascii="宋体" w:hAnsi="宋体" w:cs="宋体"/>
                <w:b/>
                <w:color w:val="000000" w:themeColor="text1"/>
                <w:sz w:val="28"/>
                <w:szCs w:val="28"/>
                <w14:textFill>
                  <w14:solidFill>
                    <w14:schemeClr w14:val="tx1"/>
                  </w14:solidFill>
                </w14:textFill>
              </w:rPr>
              <w:t>条款号</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条 款 名 称</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1.1.2</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招标人</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招标人：宜昌长江三峡旅游客运有限公司</w:t>
            </w:r>
          </w:p>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地址：宜昌市沿江大道142号</w:t>
            </w:r>
          </w:p>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联系人：冯奎</w:t>
            </w:r>
          </w:p>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联系电话：15671010880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1.1.3</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招标代理机构</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招标代理机构：湖北兴焱工程咨询有限公司 </w:t>
            </w:r>
          </w:p>
          <w:p>
            <w:pPr>
              <w:spacing w:line="420" w:lineRule="exact"/>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地址：宜昌市中南路35号兴发广场A座写字楼5楼</w:t>
            </w:r>
          </w:p>
          <w:p>
            <w:pPr>
              <w:spacing w:line="420" w:lineRule="exact"/>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联系人：刘亚琴</w:t>
            </w:r>
          </w:p>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联系电话：13581485135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1.1.4</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项目名称</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宜昌长江三峡旅游客运有限公司门卫、安检、水陆实名制服务外包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1.1.5</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服务地点</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hint="eastAsia" w:ascii="宋体" w:hAnsi="宋体" w:cs="宋体"/>
                <w:color w:val="000000" w:themeColor="text1"/>
                <w:sz w:val="28"/>
                <w:szCs w:val="28"/>
                <w14:textFill>
                  <w14:solidFill>
                    <w14:schemeClr w14:val="tx1"/>
                  </w14:solidFill>
                </w14:textFill>
              </w:rPr>
            </w:pPr>
            <w:bookmarkStart w:id="28" w:name="EBde274196658e45c5b1cb9db216802bf9"/>
            <w:bookmarkEnd w:id="28"/>
            <w:r>
              <w:rPr>
                <w:rFonts w:hint="eastAsia" w:ascii="宋体" w:hAnsi="宋体" w:cs="宋体"/>
                <w:color w:val="000000" w:themeColor="text1"/>
                <w:sz w:val="28"/>
                <w:szCs w:val="28"/>
                <w14:textFill>
                  <w14:solidFill>
                    <w14:schemeClr w14:val="tx1"/>
                  </w14:solidFill>
                </w14:textFill>
              </w:rPr>
              <w:t>业主指定地点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1.2.1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资金来源</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29" w:name="EB5d53793f3b064a5eb3ee160a5765765c"/>
            <w:bookmarkEnd w:id="29"/>
            <w:r>
              <w:rPr>
                <w:rFonts w:hint="eastAsia" w:ascii="宋体" w:hAnsi="宋体" w:cs="宋体"/>
                <w:color w:val="000000" w:themeColor="text1"/>
                <w:sz w:val="28"/>
                <w:szCs w:val="28"/>
                <w14:textFill>
                  <w14:solidFill>
                    <w14:schemeClr w14:val="tx1"/>
                  </w14:solidFill>
                </w14:textFill>
              </w:rPr>
              <w:t>企业自筹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1.2.2</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资金落实情况</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30" w:name="EBf953ec32c284435eaad730150a2f24b6"/>
            <w:bookmarkEnd w:id="30"/>
            <w:r>
              <w:rPr>
                <w:rFonts w:hint="eastAsia" w:ascii="宋体" w:hAnsi="宋体" w:cs="宋体"/>
                <w:color w:val="000000" w:themeColor="text1"/>
                <w:sz w:val="28"/>
                <w:szCs w:val="28"/>
                <w14:textFill>
                  <w14:solidFill>
                    <w14:schemeClr w14:val="tx1"/>
                  </w14:solidFill>
                </w14:textFill>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1.3.1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服务范围</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hint="eastAsia" w:ascii="宋体" w:hAnsi="宋体" w:cs="宋体"/>
                <w:color w:val="000000" w:themeColor="text1"/>
                <w:sz w:val="28"/>
                <w:szCs w:val="28"/>
                <w14:textFill>
                  <w14:solidFill>
                    <w14:schemeClr w14:val="tx1"/>
                  </w14:solidFill>
                </w14:textFill>
              </w:rPr>
            </w:pPr>
            <w:bookmarkStart w:id="31" w:name="EB75c79fb771dc4e07a8a759d7551ff4a8"/>
            <w:bookmarkEnd w:id="31"/>
            <w:r>
              <w:rPr>
                <w:rFonts w:hint="eastAsia" w:ascii="宋体" w:hAnsi="宋体" w:cs="宋体"/>
                <w:color w:val="000000" w:themeColor="text1"/>
                <w:sz w:val="28"/>
                <w:szCs w:val="28"/>
                <w14:textFill>
                  <w14:solidFill>
                    <w14:schemeClr w14:val="tx1"/>
                  </w14:solidFill>
                </w14:textFill>
              </w:rPr>
              <w:t>所需岗位服务人数为东停车场岗6人、实名制查验岗1人、行李安检岗1人、西停车场岗3人、三峡游客中心大楼夜巡岗2人</w:t>
            </w:r>
            <w:r>
              <w:rPr>
                <w:rFonts w:hint="eastAsia" w:ascii="宋体"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具体工作内容及要求详见第五章商务及技术要求。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1.3.2</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服务期限</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43"/>
              <w:shd w:val="clear" w:color="auto" w:fill="FFFFFF"/>
              <w:spacing w:line="420" w:lineRule="exact"/>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1.3.3</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资格审查方式</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32" w:name="EBfb35baf2d17c40b0a73d526f43f1f05f"/>
            <w:bookmarkEnd w:id="32"/>
            <w:r>
              <w:rPr>
                <w:rFonts w:hint="eastAsia" w:ascii="宋体" w:hAnsi="宋体" w:cs="宋体"/>
                <w:color w:val="000000" w:themeColor="text1"/>
                <w:sz w:val="28"/>
                <w:szCs w:val="28"/>
                <w14:textFill>
                  <w14:solidFill>
                    <w14:schemeClr w14:val="tx1"/>
                  </w14:solidFill>
                </w14:textFill>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1.3.4</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招标方式</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33" w:name="EBff70116223de4b8e8451c34577c8886c"/>
            <w:bookmarkEnd w:id="33"/>
            <w:r>
              <w:rPr>
                <w:rFonts w:hint="eastAsia" w:ascii="宋体" w:hAnsi="宋体" w:cs="宋体"/>
                <w:color w:val="000000" w:themeColor="text1"/>
                <w:sz w:val="28"/>
                <w:szCs w:val="28"/>
                <w14:textFill>
                  <w14:solidFill>
                    <w14:schemeClr w14:val="tx1"/>
                  </w14:solidFill>
                </w14:textFill>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1.3.5</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招标控制价</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人民币肆拾柒万柒仟元整（¥477000.00元）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1.4.1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投标人资质条件、能力和信誉</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bCs/>
                <w:color w:val="000000" w:themeColor="text1"/>
                <w:sz w:val="28"/>
                <w:szCs w:val="28"/>
                <w14:textFill>
                  <w14:solidFill>
                    <w14:schemeClr w14:val="tx1"/>
                  </w14:solidFill>
                </w14:textFill>
              </w:rPr>
            </w:pPr>
            <w:bookmarkStart w:id="34" w:name="EB055a946796754fb6a8dfaeedc5bb21ce"/>
            <w:bookmarkEnd w:id="34"/>
            <w:r>
              <w:rPr>
                <w:rFonts w:hint="eastAsia" w:ascii="宋体" w:hAnsi="宋体" w:cs="宋体"/>
                <w:color w:val="000000" w:themeColor="text1"/>
                <w:sz w:val="28"/>
                <w:szCs w:val="28"/>
                <w14:textFill>
                  <w14:solidFill>
                    <w14:schemeClr w14:val="tx1"/>
                  </w14:solidFill>
                </w14:textFill>
              </w:rPr>
              <w:t>同招标公告资格要求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1.4.2</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是否接受联合体投标</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35" w:name="EBb65be9bd87c24982a41dae633c59a85a"/>
            <w:bookmarkEnd w:id="35"/>
            <w:r>
              <w:rPr>
                <w:rFonts w:hint="eastAsia" w:ascii="宋体" w:hAnsi="宋体" w:cs="宋体"/>
                <w:color w:val="000000" w:themeColor="text1"/>
                <w:sz w:val="28"/>
                <w:szCs w:val="28"/>
                <w14:textFill>
                  <w14:solidFill>
                    <w14:schemeClr w14:val="tx1"/>
                  </w14:solidFill>
                </w14:textFill>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1.9.1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踏勘现场</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36" w:name="EB97173a9eab9e4bac85cee71798e0874a"/>
            <w:bookmarkEnd w:id="36"/>
            <w:r>
              <w:rPr>
                <w:rFonts w:hint="eastAsia" w:ascii="宋体" w:hAnsi="宋体" w:cs="宋体"/>
                <w:color w:val="000000" w:themeColor="text1"/>
                <w:sz w:val="28"/>
                <w:szCs w:val="28"/>
                <w14:textFill>
                  <w14:solidFill>
                    <w14:schemeClr w14:val="tx1"/>
                  </w14:solidFill>
                </w14:textFill>
              </w:rPr>
              <w:t>可自行踏勘现场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1.10.1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投标预备会</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37" w:name="EB4a47de0a066e4495b93faa9b3d976e4e"/>
            <w:bookmarkEnd w:id="37"/>
            <w:r>
              <w:rPr>
                <w:rFonts w:hint="eastAsia" w:ascii="宋体" w:hAnsi="宋体" w:cs="宋体"/>
                <w:color w:val="000000" w:themeColor="text1"/>
                <w:sz w:val="28"/>
                <w:szCs w:val="28"/>
                <w14:textFill>
                  <w14:solidFill>
                    <w14:schemeClr w14:val="tx1"/>
                  </w14:solidFill>
                </w14:textFill>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1.11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分  包</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38" w:name="EBb07a8836544444aea5289a11ea929c88"/>
            <w:bookmarkEnd w:id="38"/>
            <w:r>
              <w:rPr>
                <w:rFonts w:hint="eastAsia" w:ascii="宋体" w:hAnsi="宋体" w:cs="宋体"/>
                <w:color w:val="000000" w:themeColor="text1"/>
                <w:sz w:val="28"/>
                <w:szCs w:val="28"/>
                <w14:textFill>
                  <w14:solidFill>
                    <w14:schemeClr w14:val="tx1"/>
                  </w14:solidFill>
                </w14:textFill>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1.12</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偏  离</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39" w:name="EB185151ea980649059a2ecd710bde84ad"/>
            <w:bookmarkEnd w:id="39"/>
            <w:r>
              <w:rPr>
                <w:rFonts w:hint="eastAsia" w:ascii="宋体" w:hAnsi="宋体" w:cs="宋体"/>
                <w:color w:val="000000" w:themeColor="text1"/>
                <w:sz w:val="28"/>
                <w:szCs w:val="28"/>
                <w14:textFill>
                  <w14:solidFill>
                    <w14:schemeClr w14:val="tx1"/>
                  </w14:solidFill>
                </w14:textFill>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2.1（8）</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构成招标文件的其他材料</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40" w:name="EB92721599887e4f1ca7d14f4c63769905"/>
            <w:bookmarkEnd w:id="40"/>
            <w:r>
              <w:rPr>
                <w:rFonts w:hint="eastAsia" w:ascii="宋体" w:hAnsi="宋体" w:cs="宋体"/>
                <w:color w:val="000000" w:themeColor="text1"/>
                <w:sz w:val="28"/>
                <w:szCs w:val="28"/>
                <w14:textFill>
                  <w14:solidFill>
                    <w14:schemeClr w14:val="tx1"/>
                  </w14:solidFill>
                </w14:textFill>
              </w:rPr>
              <w:t>答疑澄清和修改文件。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2.2</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招标文件的</w:t>
            </w:r>
          </w:p>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澄清或修改</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本项目实行网上接收澄清提问并发布回复或修改，投标人可在项目所属电子交易平台上或邮箱（20301@ycjyjt.com）提交澄清要求，并接收澄清或修改文件。</w:t>
            </w:r>
          </w:p>
          <w:p>
            <w:pPr>
              <w:spacing w:line="420" w:lineRule="exact"/>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投标人网上提问截止时间：2021年</w:t>
            </w:r>
            <w:r>
              <w:rPr>
                <w:rFonts w:hint="eastAsia" w:ascii="宋体" w:hAnsi="宋体" w:cs="宋体"/>
                <w:color w:val="000000" w:themeColor="text1"/>
                <w:sz w:val="28"/>
                <w:szCs w:val="28"/>
                <w:lang w:val="en-US" w:eastAsia="zh-CN"/>
                <w14:textFill>
                  <w14:solidFill>
                    <w14:schemeClr w14:val="tx1"/>
                  </w14:solidFill>
                </w14:textFill>
              </w:rPr>
              <w:t>10</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7</w:t>
            </w:r>
            <w:r>
              <w:rPr>
                <w:rFonts w:hint="eastAsia" w:ascii="宋体" w:hAnsi="宋体" w:cs="宋体"/>
                <w:color w:val="000000" w:themeColor="text1"/>
                <w:sz w:val="28"/>
                <w:szCs w:val="28"/>
                <w14:textFill>
                  <w14:solidFill>
                    <w14:schemeClr w14:val="tx1"/>
                  </w14:solidFill>
                </w14:textFill>
              </w:rPr>
              <w:t>日</w:t>
            </w:r>
            <w:r>
              <w:rPr>
                <w:rFonts w:hint="eastAsia" w:ascii="宋体" w:hAnsi="宋体" w:cs="宋体"/>
                <w:color w:val="000000" w:themeColor="text1"/>
                <w:sz w:val="28"/>
                <w:szCs w:val="28"/>
                <w:lang w:val="en-US" w:eastAsia="zh-CN"/>
                <w14:textFill>
                  <w14:solidFill>
                    <w14:schemeClr w14:val="tx1"/>
                  </w14:solidFill>
                </w14:textFill>
              </w:rPr>
              <w:t>17</w:t>
            </w:r>
            <w:r>
              <w:rPr>
                <w:rFonts w:hint="eastAsia" w:ascii="宋体" w:hAnsi="宋体" w:cs="宋体"/>
                <w:color w:val="000000" w:themeColor="text1"/>
                <w:sz w:val="28"/>
                <w:szCs w:val="28"/>
                <w14:textFill>
                  <w14:solidFill>
                    <w14:schemeClr w14:val="tx1"/>
                  </w14:solidFill>
                </w14:textFill>
              </w:rPr>
              <w:t>时</w:t>
            </w:r>
            <w:r>
              <w:rPr>
                <w:rFonts w:hint="eastAsia" w:ascii="宋体" w:hAnsi="宋体" w:cs="宋体"/>
                <w:color w:val="000000" w:themeColor="text1"/>
                <w:sz w:val="28"/>
                <w:szCs w:val="28"/>
                <w:lang w:val="en-US" w:eastAsia="zh-CN"/>
                <w14:textFill>
                  <w14:solidFill>
                    <w14:schemeClr w14:val="tx1"/>
                  </w14:solidFill>
                </w14:textFill>
              </w:rPr>
              <w:t>30</w:t>
            </w:r>
            <w:r>
              <w:rPr>
                <w:rFonts w:hint="eastAsia" w:ascii="宋体" w:hAnsi="宋体" w:cs="宋体"/>
                <w:color w:val="000000" w:themeColor="text1"/>
                <w:sz w:val="28"/>
                <w:szCs w:val="28"/>
                <w14:textFill>
                  <w14:solidFill>
                    <w14:schemeClr w14:val="tx1"/>
                  </w14:solidFill>
                </w14:textFill>
              </w:rPr>
              <w:t>分</w:t>
            </w:r>
            <w:r>
              <w:rPr>
                <w:rFonts w:hint="eastAsia" w:ascii="宋体" w:hAnsi="宋体" w:cs="宋体"/>
                <w:color w:val="000000" w:themeColor="text1"/>
                <w:sz w:val="28"/>
                <w:szCs w:val="28"/>
                <w:lang w:eastAsia="zh-CN"/>
                <w14:textFill>
                  <w14:solidFill>
                    <w14:schemeClr w14:val="tx1"/>
                  </w14:solidFill>
                </w14:textFill>
              </w:rPr>
              <w:t>。</w:t>
            </w:r>
          </w:p>
          <w:p>
            <w:pPr>
              <w:spacing w:line="420" w:lineRule="exact"/>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招标人计划网上发布澄清修改时间：2021年</w:t>
            </w:r>
            <w:r>
              <w:rPr>
                <w:rFonts w:hint="eastAsia" w:ascii="宋体" w:hAnsi="宋体" w:cs="宋体"/>
                <w:color w:val="000000" w:themeColor="text1"/>
                <w:sz w:val="28"/>
                <w:szCs w:val="28"/>
                <w:lang w:val="en-US" w:eastAsia="zh-CN"/>
                <w14:textFill>
                  <w14:solidFill>
                    <w14:schemeClr w14:val="tx1"/>
                  </w14:solidFill>
                </w14:textFill>
              </w:rPr>
              <w:t>10</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8</w:t>
            </w:r>
            <w:r>
              <w:rPr>
                <w:rFonts w:hint="eastAsia" w:ascii="宋体" w:hAnsi="宋体" w:cs="宋体"/>
                <w:color w:val="000000" w:themeColor="text1"/>
                <w:sz w:val="28"/>
                <w:szCs w:val="28"/>
                <w14:textFill>
                  <w14:solidFill>
                    <w14:schemeClr w14:val="tx1"/>
                  </w14:solidFill>
                </w14:textFill>
              </w:rPr>
              <w:t>日17时</w:t>
            </w:r>
            <w:r>
              <w:rPr>
                <w:rFonts w:hint="eastAsia" w:ascii="宋体" w:hAnsi="宋体" w:cs="宋体"/>
                <w:color w:val="000000" w:themeColor="text1"/>
                <w:sz w:val="28"/>
                <w:szCs w:val="28"/>
                <w:lang w:val="en-US" w:eastAsia="zh-CN"/>
                <w14:textFill>
                  <w14:solidFill>
                    <w14:schemeClr w14:val="tx1"/>
                  </w14:solidFill>
                </w14:textFill>
              </w:rPr>
              <w:t>30</w:t>
            </w:r>
            <w:r>
              <w:rPr>
                <w:rFonts w:hint="eastAsia" w:ascii="宋体" w:hAnsi="宋体" w:cs="宋体"/>
                <w:color w:val="000000" w:themeColor="text1"/>
                <w:sz w:val="28"/>
                <w:szCs w:val="28"/>
                <w14:textFill>
                  <w14:solidFill>
                    <w14:schemeClr w14:val="tx1"/>
                  </w14:solidFill>
                </w14:textFill>
              </w:rPr>
              <w:t>分</w:t>
            </w:r>
            <w:r>
              <w:rPr>
                <w:rFonts w:hint="eastAsia" w:ascii="宋体" w:hAnsi="宋体" w:cs="宋体"/>
                <w:color w:val="000000" w:themeColor="text1"/>
                <w:sz w:val="28"/>
                <w:szCs w:val="2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3.1.1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构成投标文件的其他材料</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bookmarkStart w:id="41" w:name="EBa4270fe03d9944d79b443687e1adde2e"/>
            <w:bookmarkEnd w:id="41"/>
            <w:r>
              <w:rPr>
                <w:rFonts w:hint="eastAsia" w:ascii="宋体" w:hAnsi="宋体" w:cs="宋体"/>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3.3.1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投标有效期</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自投标截止时间起</w:t>
            </w:r>
            <w:bookmarkStart w:id="42" w:name="EB0f3ee7858e0945abb2e956d02b77da80"/>
            <w:r>
              <w:rPr>
                <w:rFonts w:hint="eastAsia" w:ascii="宋体" w:hAnsi="宋体" w:cs="宋体"/>
                <w:color w:val="000000" w:themeColor="text1"/>
                <w:sz w:val="28"/>
                <w:szCs w:val="28"/>
                <w14:textFill>
                  <w14:solidFill>
                    <w14:schemeClr w14:val="tx1"/>
                  </w14:solidFill>
                </w14:textFill>
              </w:rPr>
              <w:t>90</w:t>
            </w:r>
            <w:bookmarkEnd w:id="42"/>
            <w:r>
              <w:rPr>
                <w:rFonts w:hint="eastAsia" w:ascii="宋体" w:hAnsi="宋体" w:cs="宋体"/>
                <w:color w:val="000000" w:themeColor="text1"/>
                <w:sz w:val="28"/>
                <w:szCs w:val="28"/>
                <w14:textFill>
                  <w14:solidFill>
                    <w14:schemeClr w14:val="tx1"/>
                  </w14:solidFill>
                </w14:textFill>
              </w:rPr>
              <w:t>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3.4.1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投标保证金</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本项目不收取投标保证金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3.6</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是否允许递交</w:t>
            </w:r>
          </w:p>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备选投标方案</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3.7.7</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投标文件份数</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kern w:val="1"/>
                <w:sz w:val="28"/>
                <w:szCs w:val="28"/>
                <w14:textFill>
                  <w14:solidFill>
                    <w14:schemeClr w14:val="tx1"/>
                  </w14:solidFill>
                </w14:textFill>
              </w:rPr>
            </w:pPr>
            <w:bookmarkStart w:id="43" w:name="EB4c0ff0db43b847bb9ead747b21c4458b"/>
            <w:bookmarkEnd w:id="43"/>
            <w:r>
              <w:rPr>
                <w:rFonts w:hint="eastAsia" w:ascii="宋体" w:hAnsi="宋体" w:cs="宋体"/>
                <w:color w:val="000000" w:themeColor="text1"/>
                <w:kern w:val="1"/>
                <w:sz w:val="28"/>
                <w:szCs w:val="28"/>
                <w14:textFill>
                  <w14:solidFill>
                    <w14:schemeClr w14:val="tx1"/>
                  </w14:solidFill>
                </w14:textFill>
              </w:rPr>
              <w:t>投标文件纸质版：</w:t>
            </w:r>
            <w:r>
              <w:rPr>
                <w:rFonts w:hint="eastAsia" w:ascii="宋体" w:hAnsi="宋体" w:cs="宋体"/>
                <w:b/>
                <w:color w:val="000000" w:themeColor="text1"/>
                <w:kern w:val="1"/>
                <w:sz w:val="28"/>
                <w:szCs w:val="28"/>
                <w14:textFill>
                  <w14:solidFill>
                    <w14:schemeClr w14:val="tx1"/>
                  </w14:solidFill>
                </w14:textFill>
              </w:rPr>
              <w:t>正本一份，</w:t>
            </w:r>
            <w:r>
              <w:rPr>
                <w:rFonts w:ascii="宋体" w:hAnsi="宋体" w:cs="宋体"/>
                <w:b/>
                <w:color w:val="000000" w:themeColor="text1"/>
                <w:kern w:val="1"/>
                <w:sz w:val="28"/>
                <w:szCs w:val="28"/>
                <w14:textFill>
                  <w14:solidFill>
                    <w14:schemeClr w14:val="tx1"/>
                  </w14:solidFill>
                </w14:textFill>
              </w:rPr>
              <w:t>副本</w:t>
            </w:r>
            <w:r>
              <w:rPr>
                <w:rFonts w:hint="eastAsia" w:ascii="宋体" w:hAnsi="宋体" w:cs="宋体"/>
                <w:b/>
                <w:color w:val="000000" w:themeColor="text1"/>
                <w:kern w:val="1"/>
                <w:sz w:val="28"/>
                <w:szCs w:val="28"/>
                <w14:textFill>
                  <w14:solidFill>
                    <w14:schemeClr w14:val="tx1"/>
                  </w14:solidFill>
                </w14:textFill>
              </w:rPr>
              <w:t>一</w:t>
            </w:r>
            <w:r>
              <w:rPr>
                <w:rFonts w:ascii="宋体" w:hAnsi="宋体" w:cs="宋体"/>
                <w:b/>
                <w:color w:val="000000" w:themeColor="text1"/>
                <w:kern w:val="1"/>
                <w:sz w:val="28"/>
                <w:szCs w:val="28"/>
                <w14:textFill>
                  <w14:solidFill>
                    <w14:schemeClr w14:val="tx1"/>
                  </w14:solidFill>
                </w14:textFill>
              </w:rPr>
              <w:t>份</w:t>
            </w:r>
            <w:r>
              <w:rPr>
                <w:rFonts w:hint="eastAsia" w:ascii="宋体" w:hAnsi="宋体" w:cs="宋体"/>
                <w:b/>
                <w:color w:val="000000" w:themeColor="text1"/>
                <w:kern w:val="1"/>
                <w:sz w:val="28"/>
                <w:szCs w:val="28"/>
                <w14:textFill>
                  <w14:solidFill>
                    <w14:schemeClr w14:val="tx1"/>
                  </w14:solidFill>
                </w14:textFill>
              </w:rPr>
              <w:t>。</w:t>
            </w:r>
          </w:p>
          <w:p>
            <w:pPr>
              <w:pStyle w:val="15"/>
              <w:spacing w:line="420" w:lineRule="exact"/>
              <w:ind w:firstLine="0" w:firstLineChars="0"/>
              <w:jc w:val="left"/>
              <w:rPr>
                <w:rFonts w:ascii="宋体" w:hAnsi="宋体" w:cs="宋体"/>
                <w:b/>
                <w:color w:val="000000" w:themeColor="text1"/>
                <w:kern w:val="1"/>
                <w:sz w:val="28"/>
                <w:szCs w:val="28"/>
                <w14:textFill>
                  <w14:solidFill>
                    <w14:schemeClr w14:val="tx1"/>
                  </w14:solidFill>
                </w14:textFill>
              </w:rPr>
            </w:pPr>
            <w:r>
              <w:rPr>
                <w:rFonts w:hint="eastAsia" w:ascii="宋体" w:hAnsi="宋体" w:cs="宋体"/>
                <w:color w:val="000000" w:themeColor="text1"/>
                <w:kern w:val="1"/>
                <w:sz w:val="28"/>
                <w:szCs w:val="28"/>
                <w14:textFill>
                  <w14:solidFill>
                    <w14:schemeClr w14:val="tx1"/>
                  </w14:solidFill>
                </w14:textFill>
              </w:rPr>
              <w:t>投标文件电子版：</w:t>
            </w:r>
            <w:r>
              <w:rPr>
                <w:rFonts w:hint="eastAsia" w:ascii="宋体" w:hAnsi="宋体" w:cs="宋体"/>
                <w:b/>
                <w:color w:val="000000" w:themeColor="text1"/>
                <w:kern w:val="1"/>
                <w:sz w:val="28"/>
                <w:szCs w:val="28"/>
                <w14:textFill>
                  <w14:solidFill>
                    <w14:schemeClr w14:val="tx1"/>
                  </w14:solidFill>
                </w14:textFill>
              </w:rPr>
              <w:t>电子文件U盘一份，电子文件应与纸质文件内容一致</w:t>
            </w:r>
            <w:r>
              <w:rPr>
                <w:rFonts w:hint="eastAsia" w:ascii="宋体" w:hAnsi="宋体" w:cs="宋体"/>
                <w:b/>
                <w:bCs/>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4.2.1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投标截止时间</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b/>
                <w:color w:val="000000" w:themeColor="text1"/>
                <w:sz w:val="28"/>
                <w:szCs w:val="28"/>
                <w14:textFill>
                  <w14:solidFill>
                    <w14:schemeClr w14:val="tx1"/>
                  </w14:solidFill>
                </w14:textFill>
              </w:rPr>
            </w:pPr>
            <w:bookmarkStart w:id="44" w:name="EB4a73218d5ef1494e935148b1c9fa5b99"/>
            <w:bookmarkEnd w:id="44"/>
            <w:r>
              <w:rPr>
                <w:rFonts w:hint="eastAsia" w:ascii="宋体" w:hAnsi="宋体" w:cs="宋体"/>
                <w:b/>
                <w:color w:val="000000" w:themeColor="text1"/>
                <w:sz w:val="28"/>
                <w:szCs w:val="28"/>
                <w14:textFill>
                  <w14:solidFill>
                    <w14:schemeClr w14:val="tx1"/>
                  </w14:solidFill>
                </w14:textFill>
              </w:rPr>
              <w:t>2021年</w:t>
            </w:r>
            <w:r>
              <w:rPr>
                <w:rFonts w:hint="eastAsia" w:ascii="宋体" w:hAnsi="宋体" w:cs="宋体"/>
                <w:b/>
                <w:color w:val="000000" w:themeColor="text1"/>
                <w:sz w:val="28"/>
                <w:szCs w:val="28"/>
                <w:lang w:val="en-US" w:eastAsia="zh-CN"/>
                <w14:textFill>
                  <w14:solidFill>
                    <w14:schemeClr w14:val="tx1"/>
                  </w14:solidFill>
                </w14:textFill>
              </w:rPr>
              <w:t>11</w:t>
            </w:r>
            <w:r>
              <w:rPr>
                <w:rFonts w:hint="eastAsia" w:ascii="宋体" w:hAnsi="宋体" w:cs="宋体"/>
                <w:b/>
                <w:color w:val="000000" w:themeColor="text1"/>
                <w:sz w:val="28"/>
                <w:szCs w:val="28"/>
                <w14:textFill>
                  <w14:solidFill>
                    <w14:schemeClr w14:val="tx1"/>
                  </w14:solidFill>
                </w14:textFill>
              </w:rPr>
              <w:t>月</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日</w:t>
            </w:r>
            <w:r>
              <w:rPr>
                <w:rFonts w:hint="eastAsia" w:ascii="宋体" w:hAnsi="宋体" w:cs="宋体"/>
                <w:b/>
                <w:color w:val="000000" w:themeColor="text1"/>
                <w:sz w:val="28"/>
                <w:szCs w:val="28"/>
                <w:lang w:val="en-US" w:eastAsia="zh-CN"/>
                <w14:textFill>
                  <w14:solidFill>
                    <w14:schemeClr w14:val="tx1"/>
                  </w14:solidFill>
                </w14:textFill>
              </w:rPr>
              <w:t>14</w:t>
            </w:r>
            <w:r>
              <w:rPr>
                <w:rFonts w:hint="eastAsia" w:ascii="宋体" w:hAnsi="宋体" w:cs="宋体"/>
                <w:b/>
                <w:color w:val="000000" w:themeColor="text1"/>
                <w:sz w:val="28"/>
                <w:szCs w:val="28"/>
                <w14:textFill>
                  <w14:solidFill>
                    <w14:schemeClr w14:val="tx1"/>
                  </w14:solidFill>
                </w14:textFill>
              </w:rPr>
              <w:t>时</w:t>
            </w:r>
            <w:r>
              <w:rPr>
                <w:rFonts w:hint="eastAsia" w:ascii="宋体" w:hAnsi="宋体" w:cs="宋体"/>
                <w:b/>
                <w:color w:val="000000" w:themeColor="text1"/>
                <w:sz w:val="28"/>
                <w:szCs w:val="28"/>
                <w:lang w:val="en-US" w:eastAsia="zh-CN"/>
                <w14:textFill>
                  <w14:solidFill>
                    <w14:schemeClr w14:val="tx1"/>
                  </w14:solidFill>
                </w14:textFill>
              </w:rPr>
              <w:t>30</w:t>
            </w:r>
            <w:r>
              <w:rPr>
                <w:rFonts w:hint="eastAsia" w:ascii="宋体" w:hAnsi="宋体" w:cs="宋体"/>
                <w:b/>
                <w:color w:val="000000" w:themeColor="text1"/>
                <w:sz w:val="28"/>
                <w:szCs w:val="28"/>
                <w14:textFill>
                  <w14:solidFill>
                    <w14:schemeClr w14:val="tx1"/>
                  </w14:solidFill>
                </w14:textFill>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4.2.2</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递交投标文件方式及地点</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现场递交</w:t>
            </w:r>
            <w:r>
              <w:rPr>
                <w:rFonts w:hint="eastAsia" w:ascii="宋体" w:hAnsi="宋体" w:cs="宋体"/>
                <w:color w:val="000000" w:themeColor="text1"/>
                <w:sz w:val="28"/>
                <w:szCs w:val="28"/>
                <w14:textFill>
                  <w14:solidFill>
                    <w14:schemeClr w14:val="tx1"/>
                  </w14:solidFill>
                </w14:textFill>
              </w:rPr>
              <w:t>：投标人在投标截止时间前，可将纸质版和电子光盘或U盘投标文件，按照招标文件要求密封和加写标记后，递交至宜昌交通旅游产业发展集团有限公司开标室(伍家岗区沿江大道182号首信财富中心7楼开标室)。逾期送达的或者未送达指定地点的，或者未按照招标文件要求密封或者加写标记的投标文件，招标机构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5.1.1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开标时间和地点</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开标时间：同投标截止时间</w:t>
            </w:r>
          </w:p>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开标地点：同投标文件递交地点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6.1.1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评标委员会的组建</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评标委员会构成：5人，其中招标人代表1人，专家4人；</w:t>
            </w:r>
          </w:p>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评标专家确定方式：专家成员开标前由招标人在其监督人的监督下从专家库中随机抽取。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7.1.1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评标结果公告媒介</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同招标公告发布媒体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7.1.2</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公示期满</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中标候选人公示期满后，没有异议、投诉或者异议、投诉处理完毕。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7.2.1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是否授权评标委员会确定中标人</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u w:val="single"/>
                <w14:textFill>
                  <w14:solidFill>
                    <w14:schemeClr w14:val="tx1"/>
                  </w14:solidFill>
                </w14:textFill>
              </w:rPr>
            </w:pPr>
            <w:bookmarkStart w:id="45" w:name="EB7850533e4d7f49aa8b2af2016d15a4b4"/>
            <w:bookmarkEnd w:id="45"/>
            <w:r>
              <w:rPr>
                <w:rFonts w:hint="eastAsia" w:ascii="宋体" w:hAnsi="宋体" w:cs="宋体"/>
                <w:color w:val="000000" w:themeColor="text1"/>
                <w:sz w:val="28"/>
                <w:szCs w:val="28"/>
                <w14:textFill>
                  <w14:solidFill>
                    <w14:schemeClr w14:val="tx1"/>
                  </w14:solidFill>
                </w14:textFill>
              </w:rPr>
              <w:t>推荐的中标候选人数：3家，若不足3家，则按相应家数推荐。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7.5.1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履约保证金</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10</w:t>
            </w:r>
          </w:p>
        </w:tc>
        <w:tc>
          <w:tcPr>
            <w:tcW w:w="89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10.1</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多标段投标</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pacing w:val="4"/>
                <w:kern w:val="0"/>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5"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10.2</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知识产权</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10.3</w:t>
            </w:r>
          </w:p>
        </w:tc>
        <w:tc>
          <w:tcPr>
            <w:tcW w:w="22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解释权</w:t>
            </w:r>
          </w:p>
        </w:tc>
        <w:tc>
          <w:tcPr>
            <w:tcW w:w="672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20" w:lineRule="exact"/>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bookmarkEnd w:id="23"/>
      <w:bookmarkEnd w:id="24"/>
      <w:bookmarkEnd w:id="25"/>
      <w:bookmarkEnd w:id="26"/>
      <w:bookmarkEnd w:id="27"/>
    </w:tbl>
    <w:p>
      <w:pPr>
        <w:rPr>
          <w:color w:val="000000" w:themeColor="text1"/>
          <w14:textFill>
            <w14:solidFill>
              <w14:schemeClr w14:val="tx1"/>
            </w14:solidFill>
          </w14:textFill>
        </w:rPr>
      </w:pPr>
      <w:bookmarkStart w:id="46" w:name="_Toc30109"/>
      <w:bookmarkStart w:id="47" w:name="_Toc522293505"/>
      <w:bookmarkStart w:id="48" w:name="_Toc29163"/>
      <w:bookmarkStart w:id="49" w:name="_Toc5961"/>
      <w:bookmarkStart w:id="50" w:name="_Toc12551"/>
    </w:p>
    <w:p>
      <w:pPr>
        <w:pStyle w:val="6"/>
        <w:spacing w:line="440" w:lineRule="exact"/>
        <w:ind w:left="0" w:leftChars="0" w:firstLine="0" w:firstLineChars="0"/>
        <w:rPr>
          <w:rFonts w:cs="宋体"/>
          <w:color w:val="000000" w:themeColor="text1"/>
          <w14:textFill>
            <w14:solidFill>
              <w14:schemeClr w14:val="tx1"/>
            </w14:solidFill>
          </w14:textFill>
        </w:rPr>
      </w:pPr>
      <w:bookmarkStart w:id="51" w:name="_Toc14348"/>
      <w:r>
        <w:rPr>
          <w:rFonts w:hint="eastAsia" w:cs="宋体"/>
          <w:color w:val="000000" w:themeColor="text1"/>
          <w14:textFill>
            <w14:solidFill>
              <w14:schemeClr w14:val="tx1"/>
            </w14:solidFill>
          </w14:textFill>
        </w:rPr>
        <w:t>投标人须知正文部分</w:t>
      </w:r>
      <w:bookmarkEnd w:id="46"/>
      <w:bookmarkEnd w:id="47"/>
      <w:bookmarkEnd w:id="48"/>
      <w:bookmarkEnd w:id="49"/>
      <w:bookmarkEnd w:id="50"/>
      <w:bookmarkEnd w:id="51"/>
    </w:p>
    <w:p>
      <w:pPr>
        <w:pStyle w:val="6"/>
        <w:rPr>
          <w:color w:val="000000" w:themeColor="text1"/>
          <w14:textFill>
            <w14:solidFill>
              <w14:schemeClr w14:val="tx1"/>
            </w14:solidFill>
          </w14:textFill>
        </w:rPr>
      </w:pPr>
      <w:bookmarkStart w:id="52" w:name="_Toc9795"/>
      <w:bookmarkStart w:id="53" w:name="_Toc522293506"/>
      <w:bookmarkStart w:id="54" w:name="_Toc20114"/>
      <w:bookmarkStart w:id="55" w:name="_Toc29082"/>
      <w:bookmarkStart w:id="56" w:name="_Toc10612"/>
      <w:bookmarkStart w:id="57" w:name="_Toc2439"/>
      <w:r>
        <w:rPr>
          <w:rFonts w:hint="eastAsia"/>
          <w:color w:val="000000" w:themeColor="text1"/>
          <w14:textFill>
            <w14:solidFill>
              <w14:schemeClr w14:val="tx1"/>
            </w14:solidFill>
          </w14:textFill>
        </w:rPr>
        <w:t>1. 总则</w:t>
      </w:r>
      <w:bookmarkEnd w:id="52"/>
      <w:bookmarkEnd w:id="53"/>
      <w:bookmarkEnd w:id="54"/>
      <w:bookmarkEnd w:id="55"/>
      <w:bookmarkEnd w:id="56"/>
      <w:bookmarkEnd w:id="57"/>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58" w:name="_Toc18603036"/>
      <w:bookmarkStart w:id="59" w:name="_Toc261"/>
      <w:bookmarkStart w:id="60" w:name="_Toc22904"/>
      <w:bookmarkStart w:id="61" w:name="_Toc3266"/>
      <w:r>
        <w:rPr>
          <w:rFonts w:hint="eastAsia" w:asciiTheme="minorEastAsia" w:hAnsiTheme="minorEastAsia" w:eastAsiaTheme="minorEastAsia" w:cstheme="minorEastAsia"/>
          <w:color w:val="000000" w:themeColor="text1"/>
          <w:sz w:val="28"/>
          <w:szCs w:val="28"/>
          <w14:textFill>
            <w14:solidFill>
              <w14:schemeClr w14:val="tx1"/>
            </w14:solidFill>
          </w14:textFill>
        </w:rPr>
        <w:t>1.1 项目概况</w:t>
      </w:r>
      <w:bookmarkEnd w:id="58"/>
      <w:bookmarkEnd w:id="59"/>
      <w:bookmarkEnd w:id="60"/>
      <w:bookmarkEnd w:id="61"/>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1.1.1 根据《中华人民共和国招标投标法》、《中华人民共和国招标投标法实施条例》等有关法律、法规和规章的规定，本招标项目已具备招标条件，现对本项目服务进行公开招标。</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1.1.2本招标项目招标人：见投标人须知前附表。 </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1.1.3本项目招标代理机构：见投标人须知前附表。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1.1.4本招标项目名称：见投标人须知前附表。</w:t>
      </w:r>
    </w:p>
    <w:p>
      <w:pPr>
        <w:pStyle w:val="7"/>
        <w:keepNext w:val="0"/>
        <w:keepLines w:val="0"/>
        <w:spacing w:after="0" w:line="460" w:lineRule="exact"/>
        <w:ind w:firstLine="560" w:firstLineChars="200"/>
        <w:rPr>
          <w:rFonts w:asciiTheme="minorEastAsia" w:hAnsiTheme="minorEastAsia" w:eastAsiaTheme="minorEastAsia" w:cstheme="minorEastAsia"/>
          <w:b w:val="0"/>
          <w:bCs w:val="0"/>
          <w:color w:val="000000" w:themeColor="text1"/>
          <w:sz w:val="28"/>
          <w:szCs w:val="28"/>
          <w14:textFill>
            <w14:solidFill>
              <w14:schemeClr w14:val="tx1"/>
            </w14:solidFill>
          </w14:textFill>
        </w:rPr>
      </w:pPr>
      <w:bookmarkStart w:id="62" w:name="_Toc20450"/>
      <w:bookmarkStart w:id="63" w:name="_Toc18603037"/>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1.1.5 本项目服务地点：见投标人须知前附表。</w:t>
      </w:r>
      <w:bookmarkEnd w:id="62"/>
      <w:bookmarkEnd w:id="63"/>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64" w:name="_Toc18603038"/>
      <w:bookmarkStart w:id="65" w:name="_Toc20764"/>
      <w:bookmarkStart w:id="66" w:name="_Toc10378"/>
      <w:bookmarkStart w:id="67" w:name="_Toc12895"/>
      <w:r>
        <w:rPr>
          <w:rFonts w:hint="eastAsia" w:asciiTheme="minorEastAsia" w:hAnsiTheme="minorEastAsia" w:eastAsiaTheme="minorEastAsia" w:cstheme="minorEastAsia"/>
          <w:color w:val="000000" w:themeColor="text1"/>
          <w:sz w:val="28"/>
          <w:szCs w:val="28"/>
          <w14:textFill>
            <w14:solidFill>
              <w14:schemeClr w14:val="tx1"/>
            </w14:solidFill>
          </w14:textFill>
        </w:rPr>
        <w:t>1.2 资金来源和落实情况</w:t>
      </w:r>
      <w:bookmarkEnd w:id="64"/>
      <w:bookmarkEnd w:id="65"/>
      <w:bookmarkEnd w:id="66"/>
      <w:bookmarkEnd w:id="67"/>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1.2.1 本招标项目的资金来源：见投标人须知前附表。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1.2.2本招标项目的资金落实情况：见投标人须知前附表。</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68" w:name="_Toc18603039"/>
      <w:bookmarkStart w:id="69" w:name="_Toc22689"/>
      <w:bookmarkStart w:id="70" w:name="_Toc24937"/>
      <w:bookmarkStart w:id="71" w:name="_Toc16840"/>
      <w:r>
        <w:rPr>
          <w:rFonts w:hint="eastAsia" w:asciiTheme="minorEastAsia" w:hAnsiTheme="minorEastAsia" w:eastAsiaTheme="minorEastAsia" w:cstheme="minorEastAsia"/>
          <w:color w:val="000000" w:themeColor="text1"/>
          <w:sz w:val="28"/>
          <w:szCs w:val="28"/>
          <w14:textFill>
            <w14:solidFill>
              <w14:schemeClr w14:val="tx1"/>
            </w14:solidFill>
          </w14:textFill>
        </w:rPr>
        <w:t>1.3服务范围、服务期、资格审查方式和招标方式</w:t>
      </w:r>
      <w:bookmarkEnd w:id="68"/>
      <w:bookmarkEnd w:id="69"/>
      <w:bookmarkEnd w:id="70"/>
      <w:bookmarkEnd w:id="71"/>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1.3.1 本次招标范围：见投标人须知前附表。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1.3.2 本项目的服务期：见投标人须知前附表。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1.3.3本项目的资格审查方式：见投标人须知前附表。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1.3.4 本项目的招标方式：见投标人须知前附表。</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72" w:name="_Toc18603040"/>
      <w:bookmarkStart w:id="73" w:name="_Toc3036"/>
      <w:bookmarkStart w:id="74" w:name="_Toc14144"/>
      <w:bookmarkStart w:id="75" w:name="_Toc31747"/>
      <w:r>
        <w:rPr>
          <w:rFonts w:hint="eastAsia" w:asciiTheme="minorEastAsia" w:hAnsiTheme="minorEastAsia" w:eastAsiaTheme="minorEastAsia" w:cstheme="minorEastAsia"/>
          <w:color w:val="000000" w:themeColor="text1"/>
          <w:sz w:val="28"/>
          <w:szCs w:val="28"/>
          <w14:textFill>
            <w14:solidFill>
              <w14:schemeClr w14:val="tx1"/>
            </w14:solidFill>
          </w14:textFill>
        </w:rPr>
        <w:t>1.4 投标人资格要求</w:t>
      </w:r>
      <w:bookmarkEnd w:id="72"/>
      <w:bookmarkEnd w:id="73"/>
      <w:bookmarkEnd w:id="74"/>
      <w:bookmarkEnd w:id="75"/>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1.4.1 投标人的资质条件、能力和信誉应符合投标人须知前附表的要求。</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76" w:name="_Toc18603041"/>
      <w:bookmarkStart w:id="77" w:name="_Toc4759"/>
      <w:bookmarkStart w:id="78" w:name="_Toc15988"/>
      <w:bookmarkStart w:id="79" w:name="_Toc30244"/>
      <w:r>
        <w:rPr>
          <w:rFonts w:hint="eastAsia" w:asciiTheme="minorEastAsia" w:hAnsiTheme="minorEastAsia" w:eastAsiaTheme="minorEastAsia" w:cstheme="minorEastAsia"/>
          <w:color w:val="000000" w:themeColor="text1"/>
          <w:sz w:val="28"/>
          <w:szCs w:val="28"/>
          <w14:textFill>
            <w14:solidFill>
              <w14:schemeClr w14:val="tx1"/>
            </w14:solidFill>
          </w14:textFill>
        </w:rPr>
        <w:t>1.5 费用承担</w:t>
      </w:r>
      <w:bookmarkEnd w:id="76"/>
      <w:bookmarkEnd w:id="77"/>
      <w:bookmarkEnd w:id="78"/>
      <w:bookmarkEnd w:id="79"/>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投标人准备和参加投标活动发生的费用自理。</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80" w:name="_Toc9686"/>
      <w:bookmarkStart w:id="81" w:name="_Toc25764"/>
      <w:bookmarkStart w:id="82" w:name="_Toc18603042"/>
      <w:bookmarkStart w:id="83" w:name="_Toc12400"/>
      <w:r>
        <w:rPr>
          <w:rFonts w:hint="eastAsia" w:asciiTheme="minorEastAsia" w:hAnsiTheme="minorEastAsia" w:eastAsiaTheme="minorEastAsia" w:cstheme="minorEastAsia"/>
          <w:color w:val="000000" w:themeColor="text1"/>
          <w:sz w:val="28"/>
          <w:szCs w:val="28"/>
          <w14:textFill>
            <w14:solidFill>
              <w14:schemeClr w14:val="tx1"/>
            </w14:solidFill>
          </w14:textFill>
        </w:rPr>
        <w:t>1.6 保密</w:t>
      </w:r>
      <w:bookmarkEnd w:id="80"/>
      <w:bookmarkEnd w:id="81"/>
      <w:bookmarkEnd w:id="82"/>
      <w:bookmarkEnd w:id="83"/>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参与招标投标活动的各方应对招标文件和投标文件中的商业和技术等秘密保密，违者应对由此造成的后果承担法律责任。 </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84" w:name="_Toc18603043"/>
      <w:bookmarkStart w:id="85" w:name="_Toc7095"/>
      <w:bookmarkStart w:id="86" w:name="_Toc4714"/>
      <w:bookmarkStart w:id="87" w:name="_Toc18527"/>
      <w:r>
        <w:rPr>
          <w:rFonts w:hint="eastAsia" w:asciiTheme="minorEastAsia" w:hAnsiTheme="minorEastAsia" w:eastAsiaTheme="minorEastAsia" w:cstheme="minorEastAsia"/>
          <w:color w:val="000000" w:themeColor="text1"/>
          <w:sz w:val="28"/>
          <w:szCs w:val="28"/>
          <w14:textFill>
            <w14:solidFill>
              <w14:schemeClr w14:val="tx1"/>
            </w14:solidFill>
          </w14:textFill>
        </w:rPr>
        <w:t>1.7 语言文字</w:t>
      </w:r>
      <w:bookmarkEnd w:id="84"/>
      <w:bookmarkEnd w:id="85"/>
      <w:bookmarkEnd w:id="86"/>
      <w:bookmarkEnd w:id="87"/>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除专用术语外，与招标投标有关的语言均使用中文，必要时专用术语应附有中文注释。</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88" w:name="_Toc18603044"/>
      <w:bookmarkStart w:id="89" w:name="_Toc31082"/>
      <w:bookmarkStart w:id="90" w:name="_Toc11638"/>
      <w:bookmarkStart w:id="91" w:name="_Toc26840"/>
      <w:r>
        <w:rPr>
          <w:rFonts w:hint="eastAsia" w:asciiTheme="minorEastAsia" w:hAnsiTheme="minorEastAsia" w:eastAsiaTheme="minorEastAsia" w:cstheme="minorEastAsia"/>
          <w:color w:val="000000" w:themeColor="text1"/>
          <w:sz w:val="28"/>
          <w:szCs w:val="28"/>
          <w14:textFill>
            <w14:solidFill>
              <w14:schemeClr w14:val="tx1"/>
            </w14:solidFill>
          </w14:textFill>
        </w:rPr>
        <w:t>1.8 计量单位</w:t>
      </w:r>
      <w:bookmarkEnd w:id="88"/>
      <w:bookmarkEnd w:id="89"/>
      <w:bookmarkEnd w:id="90"/>
      <w:bookmarkEnd w:id="91"/>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所有计量均采用中华人民共和国法定计量单位。</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92" w:name="_Toc18603045"/>
      <w:bookmarkStart w:id="93" w:name="_Toc30654"/>
      <w:bookmarkStart w:id="94" w:name="_Toc32428"/>
      <w:bookmarkStart w:id="95" w:name="_Toc30928"/>
      <w:r>
        <w:rPr>
          <w:rFonts w:hint="eastAsia" w:asciiTheme="minorEastAsia" w:hAnsiTheme="minorEastAsia" w:eastAsiaTheme="minorEastAsia" w:cstheme="minorEastAsia"/>
          <w:color w:val="000000" w:themeColor="text1"/>
          <w:sz w:val="28"/>
          <w:szCs w:val="28"/>
          <w14:textFill>
            <w14:solidFill>
              <w14:schemeClr w14:val="tx1"/>
            </w14:solidFill>
          </w14:textFill>
        </w:rPr>
        <w:t>1.9 踏勘现场</w:t>
      </w:r>
      <w:bookmarkEnd w:id="92"/>
      <w:bookmarkEnd w:id="93"/>
      <w:bookmarkEnd w:id="94"/>
      <w:bookmarkEnd w:id="95"/>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1.9.1 投标人有需要可自行踏勘项目现场。 </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1.9.2 投标人踏勘现场发生的费用自理。</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1.9.3投标人自行负责在踏勘现场中所发生的人员伤亡和财产损失。</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96" w:name="_Toc18603046"/>
      <w:bookmarkStart w:id="97" w:name="_Toc30253"/>
      <w:bookmarkStart w:id="98" w:name="_Toc13874"/>
      <w:bookmarkStart w:id="99" w:name="_Toc13743"/>
      <w:r>
        <w:rPr>
          <w:rFonts w:hint="eastAsia" w:asciiTheme="minorEastAsia" w:hAnsiTheme="minorEastAsia" w:eastAsiaTheme="minorEastAsia" w:cstheme="minorEastAsia"/>
          <w:color w:val="000000" w:themeColor="text1"/>
          <w:sz w:val="28"/>
          <w:szCs w:val="28"/>
          <w14:textFill>
            <w14:solidFill>
              <w14:schemeClr w14:val="tx1"/>
            </w14:solidFill>
          </w14:textFill>
        </w:rPr>
        <w:t>1.10 投标预备会</w:t>
      </w:r>
      <w:bookmarkEnd w:id="96"/>
      <w:bookmarkEnd w:id="97"/>
      <w:bookmarkEnd w:id="98"/>
      <w:bookmarkEnd w:id="99"/>
    </w:p>
    <w:p>
      <w:pPr>
        <w:pStyle w:val="7"/>
        <w:keepNext w:val="0"/>
        <w:keepLines w:val="0"/>
        <w:spacing w:after="0" w:line="460" w:lineRule="exact"/>
        <w:ind w:firstLine="560" w:firstLineChars="200"/>
        <w:rPr>
          <w:rFonts w:asciiTheme="minorEastAsia" w:hAnsiTheme="minorEastAsia" w:eastAsiaTheme="minorEastAsia" w:cstheme="minorEastAsia"/>
          <w:b w:val="0"/>
          <w:color w:val="000000" w:themeColor="text1"/>
          <w:sz w:val="28"/>
          <w:szCs w:val="28"/>
          <w14:textFill>
            <w14:solidFill>
              <w14:schemeClr w14:val="tx1"/>
            </w14:solidFill>
          </w14:textFill>
        </w:rPr>
      </w:pPr>
      <w:bookmarkStart w:id="100" w:name="_Toc12764"/>
      <w:bookmarkStart w:id="101" w:name="_Toc7074"/>
      <w:bookmarkStart w:id="102" w:name="_Toc3981"/>
      <w:bookmarkStart w:id="103" w:name="_Toc18603047"/>
      <w:r>
        <w:rPr>
          <w:rFonts w:hint="eastAsia" w:asciiTheme="minorEastAsia" w:hAnsiTheme="minorEastAsia" w:eastAsiaTheme="minorEastAsia" w:cstheme="minorEastAsia"/>
          <w:b w:val="0"/>
          <w:color w:val="000000" w:themeColor="text1"/>
          <w:sz w:val="28"/>
          <w:szCs w:val="28"/>
          <w14:textFill>
            <w14:solidFill>
              <w14:schemeClr w14:val="tx1"/>
            </w14:solidFill>
          </w14:textFill>
        </w:rPr>
        <w:t>本项目不召开投标预备会。</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1.11 分包</w:t>
      </w:r>
      <w:bookmarkEnd w:id="100"/>
      <w:bookmarkEnd w:id="101"/>
      <w:bookmarkEnd w:id="102"/>
      <w:bookmarkEnd w:id="103"/>
    </w:p>
    <w:p>
      <w:pPr>
        <w:pStyle w:val="7"/>
        <w:keepNext w:val="0"/>
        <w:keepLines w:val="0"/>
        <w:spacing w:after="0" w:line="460" w:lineRule="exact"/>
        <w:ind w:firstLine="560" w:firstLineChars="200"/>
        <w:rPr>
          <w:rFonts w:asciiTheme="minorEastAsia" w:hAnsiTheme="minorEastAsia" w:eastAsiaTheme="minorEastAsia" w:cstheme="minorEastAsia"/>
          <w:b w:val="0"/>
          <w:color w:val="000000" w:themeColor="text1"/>
          <w:sz w:val="28"/>
          <w:szCs w:val="28"/>
          <w14:textFill>
            <w14:solidFill>
              <w14:schemeClr w14:val="tx1"/>
            </w14:solidFill>
          </w14:textFill>
        </w:rPr>
      </w:pPr>
      <w:bookmarkStart w:id="104" w:name="_Toc28769"/>
      <w:bookmarkStart w:id="105" w:name="_Toc26623"/>
      <w:bookmarkStart w:id="106" w:name="_Toc17045"/>
      <w:bookmarkStart w:id="107" w:name="_Toc18603048"/>
      <w:r>
        <w:rPr>
          <w:rFonts w:hint="eastAsia" w:asciiTheme="minorEastAsia" w:hAnsiTheme="minorEastAsia" w:eastAsiaTheme="minorEastAsia" w:cstheme="minorEastAsia"/>
          <w:b w:val="0"/>
          <w:color w:val="000000" w:themeColor="text1"/>
          <w:sz w:val="28"/>
          <w:szCs w:val="28"/>
          <w14:textFill>
            <w14:solidFill>
              <w14:schemeClr w14:val="tx1"/>
            </w14:solidFill>
          </w14:textFill>
        </w:rPr>
        <w:t>本项目不允许分包。</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1.12 偏离</w:t>
      </w:r>
      <w:bookmarkEnd w:id="104"/>
      <w:bookmarkEnd w:id="105"/>
      <w:bookmarkEnd w:id="106"/>
      <w:bookmarkEnd w:id="107"/>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本项目不允许偏离。</w:t>
      </w:r>
    </w:p>
    <w:p>
      <w:pPr>
        <w:pStyle w:val="6"/>
        <w:rPr>
          <w:color w:val="000000" w:themeColor="text1"/>
          <w14:textFill>
            <w14:solidFill>
              <w14:schemeClr w14:val="tx1"/>
            </w14:solidFill>
          </w14:textFill>
        </w:rPr>
      </w:pPr>
      <w:bookmarkStart w:id="108" w:name="_Toc31093"/>
      <w:bookmarkStart w:id="109" w:name="_Toc27319"/>
      <w:bookmarkStart w:id="110" w:name="_Toc13429"/>
      <w:bookmarkStart w:id="111" w:name="_Toc2379"/>
      <w:bookmarkStart w:id="112" w:name="_Toc522293507"/>
      <w:bookmarkStart w:id="113" w:name="_Toc9325"/>
      <w:r>
        <w:rPr>
          <w:rFonts w:hint="eastAsia"/>
          <w:color w:val="000000" w:themeColor="text1"/>
          <w14:textFill>
            <w14:solidFill>
              <w14:schemeClr w14:val="tx1"/>
            </w14:solidFill>
          </w14:textFill>
        </w:rPr>
        <w:t>2. 招标文件</w:t>
      </w:r>
      <w:bookmarkEnd w:id="108"/>
      <w:bookmarkEnd w:id="109"/>
      <w:bookmarkEnd w:id="110"/>
      <w:bookmarkEnd w:id="111"/>
      <w:bookmarkEnd w:id="112"/>
      <w:bookmarkEnd w:id="113"/>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14" w:name="_Toc17601"/>
      <w:bookmarkStart w:id="115" w:name="_Toc17365"/>
      <w:bookmarkStart w:id="116" w:name="_Toc25752"/>
      <w:bookmarkStart w:id="117" w:name="_Toc18603050"/>
      <w:r>
        <w:rPr>
          <w:rFonts w:hint="eastAsia" w:asciiTheme="minorEastAsia" w:hAnsiTheme="minorEastAsia" w:eastAsiaTheme="minorEastAsia" w:cstheme="minorEastAsia"/>
          <w:color w:val="000000" w:themeColor="text1"/>
          <w:sz w:val="28"/>
          <w:szCs w:val="28"/>
          <w14:textFill>
            <w14:solidFill>
              <w14:schemeClr w14:val="tx1"/>
            </w14:solidFill>
          </w14:textFill>
        </w:rPr>
        <w:t>2.1 招标文件的组成</w:t>
      </w:r>
      <w:bookmarkEnd w:id="114"/>
      <w:bookmarkEnd w:id="115"/>
      <w:bookmarkEnd w:id="116"/>
      <w:bookmarkEnd w:id="117"/>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本招标文件包括：</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（1）招标公告；</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（2）投标人须知；</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（3）评标办法；</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（4）合同条款及格式；</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（5）商务要求； </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（6）相关技术资料；  </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（7）投标文件格式；</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（8）投标人须知前附表规定的其他材料。</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根据本章第1.10款和第2.2款对招标文件所作的澄清、修改，构成招标文件的组成部分。</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18" w:name="_Toc20979"/>
      <w:bookmarkStart w:id="119" w:name="_Toc2717"/>
      <w:bookmarkStart w:id="120" w:name="_Toc3800"/>
      <w:bookmarkStart w:id="121" w:name="_Toc18603051"/>
      <w:r>
        <w:rPr>
          <w:rFonts w:hint="eastAsia" w:asciiTheme="minorEastAsia" w:hAnsiTheme="minorEastAsia" w:eastAsiaTheme="minorEastAsia" w:cstheme="minorEastAsia"/>
          <w:color w:val="000000" w:themeColor="text1"/>
          <w:sz w:val="28"/>
          <w:szCs w:val="28"/>
          <w14:textFill>
            <w14:solidFill>
              <w14:schemeClr w14:val="tx1"/>
            </w14:solidFill>
          </w14:textFill>
        </w:rPr>
        <w:t>2.2 招标文件的澄清和修改</w:t>
      </w:r>
      <w:bookmarkEnd w:id="118"/>
      <w:bookmarkEnd w:id="119"/>
      <w:bookmarkEnd w:id="120"/>
      <w:bookmarkEnd w:id="121"/>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2.2.1 投标人应仔细阅读和检查招标文件的全部内容。如有疑问，应在申请人须知前附表第2.2项规定的提问截止时间前提问，要求招标机构对招标文件予以网上澄清。</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2.2.2 无论是招标机构根据需要主动对招标文件进行必要的澄清或修改，或是根据投标人的要求对招标文件做出澄清或修改，澄清或修改的内容可能影响投标文件编制的，招标机构应于投标人须知表4.2.1项规定的投标截止时间15日前发布。</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澄清或修改通知发出的时间距投标人须知前附表第4.2.1项规定的投标截止时间不足15日，并且澄清或修改的内容影响投标文件编制的，相应延长投标截止时间。</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2.2.3 澄清或修改文件作为招标文件的组成部分，对投标人起同等约束作用。投标人应注意及时浏览项目发布的澄清和修改通知，因投标人原因未及时获知澄清、修改内容而导致的任何后果将由投标人自行承担。</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2.2.4 任何口头上的澄清、修改一律视为无效。当招标文件、澄清或修改内容相互矛盾时，以最后发出的文件为准。</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22" w:name="_Toc13582"/>
      <w:bookmarkStart w:id="123" w:name="_Toc7693"/>
      <w:bookmarkStart w:id="124" w:name="_Toc15437"/>
      <w:bookmarkStart w:id="125" w:name="_Toc18603052"/>
      <w:r>
        <w:rPr>
          <w:rFonts w:hint="eastAsia" w:asciiTheme="minorEastAsia" w:hAnsiTheme="minorEastAsia" w:eastAsiaTheme="minorEastAsia" w:cstheme="minorEastAsia"/>
          <w:color w:val="000000" w:themeColor="text1"/>
          <w:sz w:val="28"/>
          <w:szCs w:val="28"/>
          <w14:textFill>
            <w14:solidFill>
              <w14:schemeClr w14:val="tx1"/>
            </w14:solidFill>
          </w14:textFill>
        </w:rPr>
        <w:t>2.3 对招标文件的异议</w:t>
      </w:r>
      <w:bookmarkEnd w:id="122"/>
      <w:bookmarkEnd w:id="123"/>
      <w:bookmarkEnd w:id="124"/>
      <w:bookmarkEnd w:id="125"/>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126" w:name="EB637a2fd476d041a5b3c9c6ab288b697a"/>
      <w:r>
        <w:rPr>
          <w:rFonts w:hint="eastAsia" w:asciiTheme="minorEastAsia" w:hAnsiTheme="minorEastAsia" w:eastAsiaTheme="minorEastAsia" w:cstheme="minorEastAsia"/>
          <w:color w:val="000000" w:themeColor="text1"/>
          <w:sz w:val="28"/>
          <w:szCs w:val="28"/>
          <w14:textFill>
            <w14:solidFill>
              <w14:schemeClr w14:val="tx1"/>
            </w14:solidFill>
          </w14:textFill>
        </w:rPr>
        <w:t>2.3.1 投标人或者其他利害关系人对招标文件（包括对招标文件澄清和修改的内容）有异议的，应当在投标人须知前附表4.2.1项规定的投标截止时间10日前提出。招标人自收到异议之日起3日内作出答复；作出答复前，招标人将暂停招标投标活动。逾期提出的，招标人可不予受理。</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本处所称异议是指投标人或者其他利害关系人认为招标文件的内容违反法律、法规、规章的强制性规定，违反公开、公平、公正和诚实信用原则，影响投标人投标而向招标人提出的异议。</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2.3.2 招标人对异议的答复构成对招标文件澄清或者修改的，招标机构将按照本章第2.2款规定办理。</w:t>
      </w:r>
    </w:p>
    <w:bookmarkEnd w:id="126"/>
    <w:p>
      <w:pPr>
        <w:pStyle w:val="6"/>
        <w:rPr>
          <w:color w:val="000000" w:themeColor="text1"/>
          <w14:textFill>
            <w14:solidFill>
              <w14:schemeClr w14:val="tx1"/>
            </w14:solidFill>
          </w14:textFill>
        </w:rPr>
      </w:pPr>
      <w:bookmarkStart w:id="127" w:name="_Toc9178"/>
      <w:bookmarkStart w:id="128" w:name="_Toc20941"/>
      <w:bookmarkStart w:id="129" w:name="_Toc23235"/>
      <w:bookmarkStart w:id="130" w:name="_Toc27113"/>
      <w:bookmarkStart w:id="131" w:name="_Toc522293508"/>
      <w:bookmarkStart w:id="132" w:name="_Toc11313"/>
      <w:r>
        <w:rPr>
          <w:rFonts w:hint="eastAsia"/>
          <w:color w:val="000000" w:themeColor="text1"/>
          <w14:textFill>
            <w14:solidFill>
              <w14:schemeClr w14:val="tx1"/>
            </w14:solidFill>
          </w14:textFill>
        </w:rPr>
        <w:t>3. 投标文件</w:t>
      </w:r>
      <w:bookmarkEnd w:id="127"/>
      <w:bookmarkEnd w:id="128"/>
      <w:bookmarkEnd w:id="129"/>
      <w:bookmarkEnd w:id="130"/>
      <w:bookmarkEnd w:id="131"/>
      <w:bookmarkEnd w:id="132"/>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33" w:name="_Toc18603054"/>
      <w:bookmarkStart w:id="134" w:name="_Toc18581"/>
      <w:bookmarkStart w:id="135" w:name="_Toc15373"/>
      <w:bookmarkStart w:id="136" w:name="_Toc9866"/>
      <w:r>
        <w:rPr>
          <w:rFonts w:hint="eastAsia" w:asciiTheme="minorEastAsia" w:hAnsiTheme="minorEastAsia" w:eastAsiaTheme="minorEastAsia" w:cstheme="minorEastAsia"/>
          <w:color w:val="000000" w:themeColor="text1"/>
          <w:sz w:val="28"/>
          <w:szCs w:val="28"/>
          <w14:textFill>
            <w14:solidFill>
              <w14:schemeClr w14:val="tx1"/>
            </w14:solidFill>
          </w14:textFill>
        </w:rPr>
        <w:t>3.1 投标文件的组成</w:t>
      </w:r>
      <w:bookmarkEnd w:id="133"/>
      <w:bookmarkEnd w:id="134"/>
      <w:bookmarkEnd w:id="135"/>
      <w:bookmarkEnd w:id="136"/>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3.1.1 投标文件应包括但不限于下列内容（详细内容见第六章“投标文件格式”）：</w:t>
      </w:r>
    </w:p>
    <w:p>
      <w:pPr>
        <w:spacing w:line="460" w:lineRule="exact"/>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封面、投标函、商务文件。</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3.1.2 投标人须知前附表规定不接受联合体投标的，或投标人没有组成联合体的，投标文件中不包括联合体协议书。 </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37" w:name="_Toc18603055"/>
      <w:bookmarkStart w:id="138" w:name="_Toc10865"/>
      <w:bookmarkStart w:id="139" w:name="_Toc15808"/>
      <w:bookmarkStart w:id="140" w:name="_Toc10993"/>
      <w:r>
        <w:rPr>
          <w:rFonts w:hint="eastAsia" w:asciiTheme="minorEastAsia" w:hAnsiTheme="minorEastAsia" w:eastAsiaTheme="minorEastAsia" w:cstheme="minorEastAsia"/>
          <w:color w:val="000000" w:themeColor="text1"/>
          <w:sz w:val="28"/>
          <w:szCs w:val="28"/>
          <w14:textFill>
            <w14:solidFill>
              <w14:schemeClr w14:val="tx1"/>
            </w14:solidFill>
          </w14:textFill>
        </w:rPr>
        <w:t>3.2 投标报价</w:t>
      </w:r>
      <w:bookmarkEnd w:id="137"/>
      <w:bookmarkEnd w:id="138"/>
      <w:bookmarkEnd w:id="139"/>
      <w:bookmarkEnd w:id="140"/>
    </w:p>
    <w:p>
      <w:pPr>
        <w:pStyle w:val="7"/>
        <w:keepNext w:val="0"/>
        <w:keepLines w:val="0"/>
        <w:spacing w:after="0" w:line="460" w:lineRule="exact"/>
        <w:ind w:firstLine="560" w:firstLineChars="200"/>
        <w:rPr>
          <w:rFonts w:asciiTheme="minorEastAsia" w:hAnsiTheme="minorEastAsia" w:eastAsiaTheme="minorEastAsia" w:cstheme="minorEastAsia"/>
          <w:b w:val="0"/>
          <w:bCs w:val="0"/>
          <w:color w:val="000000" w:themeColor="text1"/>
          <w:sz w:val="28"/>
          <w:szCs w:val="28"/>
          <w14:textFill>
            <w14:solidFill>
              <w14:schemeClr w14:val="tx1"/>
            </w14:solidFill>
          </w14:textFill>
        </w:rPr>
      </w:pPr>
      <w:bookmarkStart w:id="141" w:name="_Toc26073"/>
      <w:bookmarkStart w:id="142" w:name="_Toc18603056"/>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3.2.1投标人应按照第四章“合同条款”及第五章“商务及技术要求”规定的内容进行报价。投标报价中所报的单价和合价，以及投标报价汇总表中的价格均包括完成该服务项目的人员工资、社会保险、服装费、人身意外伤害险、福利、平时及节假日加班费、技能培训费、人员餐费等，同时还包括承包单位管理费、法定税金、合理利润等一切费用及投标人认为或应该知道需计入的费用。并按第六章“投标文件格式”确定的格式报出总价。投标总价应为优惠后的最终报价，国家规定的各项税费不得优惠。投标总价中也不得缺漏招标文件所要求的内容，否则，在评标时将被视为已包含在投标总价中。</w:t>
      </w:r>
    </w:p>
    <w:p>
      <w:pPr>
        <w:pStyle w:val="7"/>
        <w:keepNext w:val="0"/>
        <w:keepLines w:val="0"/>
        <w:spacing w:after="0" w:line="460" w:lineRule="exact"/>
        <w:ind w:firstLine="560" w:firstLineChars="200"/>
        <w:rPr>
          <w:rFonts w:asciiTheme="minorEastAsia" w:hAnsiTheme="minorEastAsia" w:eastAsiaTheme="minorEastAsia" w:cstheme="minorEastAsia"/>
          <w:b w:val="0"/>
          <w:bCs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3.3.2投标人在报价中如有任何遗漏，涉及到招标文件规定的范围、质量或限制了采购人的权利和投标人的义务以及招标文件中的各项规定，均将直接导致无效投标。</w:t>
      </w:r>
      <w:bookmarkEnd w:id="141"/>
    </w:p>
    <w:p>
      <w:pPr>
        <w:pStyle w:val="7"/>
        <w:keepNext w:val="0"/>
        <w:keepLines w:val="0"/>
        <w:spacing w:after="0" w:line="460" w:lineRule="exact"/>
        <w:ind w:firstLine="560" w:firstLineChars="200"/>
        <w:rPr>
          <w:rFonts w:asciiTheme="minorEastAsia" w:hAnsiTheme="minorEastAsia" w:eastAsiaTheme="minorEastAsia" w:cstheme="minorEastAsia"/>
          <w:b w:val="0"/>
          <w:bCs w:val="0"/>
          <w:color w:val="000000" w:themeColor="text1"/>
          <w:sz w:val="28"/>
          <w:szCs w:val="28"/>
          <w14:textFill>
            <w14:solidFill>
              <w14:schemeClr w14:val="tx1"/>
            </w14:solidFill>
          </w14:textFill>
        </w:rPr>
      </w:pPr>
      <w:bookmarkStart w:id="143" w:name="_Toc31518"/>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3.2.3投标人因完成本项目服务的管理费、交通费、住宿费、餐费、税费等所有费用均由投标人承担，并包含在所报的投标报价内，招标人不另行支付。</w:t>
      </w:r>
      <w:bookmarkEnd w:id="143"/>
    </w:p>
    <w:p>
      <w:pPr>
        <w:pStyle w:val="7"/>
        <w:keepNext w:val="0"/>
        <w:keepLines w:val="0"/>
        <w:spacing w:after="0" w:line="460" w:lineRule="exact"/>
        <w:ind w:firstLine="560" w:firstLineChars="200"/>
        <w:rPr>
          <w:rFonts w:asciiTheme="minorEastAsia" w:hAnsiTheme="minorEastAsia" w:eastAsiaTheme="minorEastAsia" w:cstheme="minorEastAsia"/>
          <w:b w:val="0"/>
          <w:bCs w:val="0"/>
          <w:color w:val="000000" w:themeColor="text1"/>
          <w:sz w:val="28"/>
          <w:szCs w:val="28"/>
          <w14:textFill>
            <w14:solidFill>
              <w14:schemeClr w14:val="tx1"/>
            </w14:solidFill>
          </w14:textFill>
        </w:rPr>
      </w:pPr>
      <w:bookmarkStart w:id="144" w:name="_Toc14259"/>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3.2.4</w:t>
      </w:r>
      <w:bookmarkEnd w:id="144"/>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投标人所报的投标价为包干价，在合同执行过程中是固定不变的，不得以任何理由予以变更。</w:t>
      </w:r>
    </w:p>
    <w:p>
      <w:pPr>
        <w:pStyle w:val="7"/>
        <w:keepNext w:val="0"/>
        <w:keepLines w:val="0"/>
        <w:spacing w:after="0" w:line="460" w:lineRule="exact"/>
        <w:ind w:firstLine="560" w:firstLineChars="200"/>
        <w:rPr>
          <w:rFonts w:asciiTheme="minorEastAsia" w:hAnsiTheme="minorEastAsia" w:eastAsiaTheme="minorEastAsia" w:cstheme="minorEastAsia"/>
          <w:b w:val="0"/>
          <w:bCs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b w:val="0"/>
          <w:color w:val="000000" w:themeColor="text1"/>
          <w:sz w:val="28"/>
          <w:szCs w:val="28"/>
          <w14:textFill>
            <w14:solidFill>
              <w14:schemeClr w14:val="tx1"/>
            </w14:solidFill>
          </w14:textFill>
        </w:rPr>
        <w:t>3.2.5投标人的投标报价超过本项目招标控制价的作废标处理。</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45" w:name="_Toc19269"/>
      <w:bookmarkStart w:id="146" w:name="_Toc17538"/>
      <w:bookmarkStart w:id="147" w:name="_Toc547"/>
      <w:r>
        <w:rPr>
          <w:rFonts w:hint="eastAsia" w:asciiTheme="minorEastAsia" w:hAnsiTheme="minorEastAsia" w:eastAsiaTheme="minorEastAsia" w:cstheme="minorEastAsia"/>
          <w:color w:val="000000" w:themeColor="text1"/>
          <w:sz w:val="28"/>
          <w:szCs w:val="28"/>
          <w14:textFill>
            <w14:solidFill>
              <w14:schemeClr w14:val="tx1"/>
            </w14:solidFill>
          </w14:textFill>
        </w:rPr>
        <w:t>3.3 投标有效期</w:t>
      </w:r>
      <w:bookmarkEnd w:id="142"/>
      <w:bookmarkEnd w:id="145"/>
      <w:bookmarkEnd w:id="146"/>
      <w:bookmarkEnd w:id="147"/>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3.3.1 在投标人须知前附表规定的投标有效期内，投标人不得要求撤销或修改其投标文件。</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3.3.2 出现特殊情况需要延长投标有效期的，招标人以邮箱形式通知所有投标人延长投标有效期。</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48" w:name="_Toc18603057"/>
      <w:bookmarkStart w:id="149" w:name="_Toc23571"/>
      <w:bookmarkStart w:id="150" w:name="_Toc7016"/>
      <w:bookmarkStart w:id="151" w:name="_Toc16051"/>
      <w:r>
        <w:rPr>
          <w:rFonts w:hint="eastAsia" w:asciiTheme="minorEastAsia" w:hAnsiTheme="minorEastAsia" w:eastAsiaTheme="minorEastAsia" w:cstheme="minorEastAsia"/>
          <w:color w:val="000000" w:themeColor="text1"/>
          <w:sz w:val="28"/>
          <w:szCs w:val="28"/>
          <w14:textFill>
            <w14:solidFill>
              <w14:schemeClr w14:val="tx1"/>
            </w14:solidFill>
          </w14:textFill>
        </w:rPr>
        <w:t>3.5 资格审查资料</w:t>
      </w:r>
      <w:bookmarkEnd w:id="148"/>
      <w:bookmarkEnd w:id="149"/>
      <w:bookmarkEnd w:id="150"/>
      <w:bookmarkEnd w:id="151"/>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3.5.1 投标人应按招标文件规定的内容填写，并按具体要求提供相关证件及证明材料。</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52" w:name="_Toc5550"/>
      <w:bookmarkStart w:id="153" w:name="_Toc19500"/>
      <w:bookmarkStart w:id="154" w:name="_Toc29172"/>
      <w:bookmarkStart w:id="155" w:name="_Toc18603058"/>
      <w:r>
        <w:rPr>
          <w:rFonts w:hint="eastAsia" w:asciiTheme="minorEastAsia" w:hAnsiTheme="minorEastAsia" w:eastAsiaTheme="minorEastAsia" w:cstheme="minorEastAsia"/>
          <w:color w:val="000000" w:themeColor="text1"/>
          <w:sz w:val="28"/>
          <w:szCs w:val="28"/>
          <w14:textFill>
            <w14:solidFill>
              <w14:schemeClr w14:val="tx1"/>
            </w14:solidFill>
          </w14:textFill>
        </w:rPr>
        <w:t>3.6 备选投标方案</w:t>
      </w:r>
      <w:bookmarkEnd w:id="152"/>
      <w:bookmarkEnd w:id="153"/>
      <w:bookmarkEnd w:id="154"/>
      <w:bookmarkEnd w:id="155"/>
    </w:p>
    <w:p>
      <w:pPr>
        <w:pStyle w:val="7"/>
        <w:keepNext w:val="0"/>
        <w:keepLines w:val="0"/>
        <w:spacing w:after="0" w:line="460" w:lineRule="exact"/>
        <w:ind w:firstLine="560" w:firstLineChars="200"/>
        <w:rPr>
          <w:rFonts w:asciiTheme="minorEastAsia" w:hAnsiTheme="minorEastAsia" w:eastAsiaTheme="minorEastAsia" w:cstheme="minorEastAsia"/>
          <w:b w:val="0"/>
          <w:bCs w:val="0"/>
          <w:color w:val="000000" w:themeColor="text1"/>
          <w:sz w:val="28"/>
          <w:szCs w:val="28"/>
          <w14:textFill>
            <w14:solidFill>
              <w14:schemeClr w14:val="tx1"/>
            </w14:solidFill>
          </w14:textFill>
        </w:rPr>
      </w:pPr>
      <w:bookmarkStart w:id="156" w:name="_Toc18603059"/>
      <w:bookmarkStart w:id="157" w:name="_Toc31397"/>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投标人不得递交备选投标方案。</w:t>
      </w:r>
      <w:bookmarkEnd w:id="156"/>
      <w:bookmarkEnd w:id="157"/>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58" w:name="_Toc18603060"/>
      <w:bookmarkStart w:id="159" w:name="_Toc5911"/>
      <w:bookmarkStart w:id="160" w:name="_Toc11015"/>
      <w:bookmarkStart w:id="161" w:name="_Toc14333"/>
      <w:r>
        <w:rPr>
          <w:rFonts w:hint="eastAsia" w:asciiTheme="minorEastAsia" w:hAnsiTheme="minorEastAsia" w:eastAsiaTheme="minorEastAsia" w:cstheme="minorEastAsia"/>
          <w:color w:val="000000" w:themeColor="text1"/>
          <w:sz w:val="28"/>
          <w:szCs w:val="28"/>
          <w14:textFill>
            <w14:solidFill>
              <w14:schemeClr w14:val="tx1"/>
            </w14:solidFill>
          </w14:textFill>
        </w:rPr>
        <w:t>3.7 投标文件的编制</w:t>
      </w:r>
      <w:bookmarkEnd w:id="158"/>
      <w:bookmarkEnd w:id="159"/>
      <w:bookmarkEnd w:id="160"/>
      <w:bookmarkEnd w:id="161"/>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3.7.1 投标文件应按第六章“投标文件格式”进行编写，如有必要，可以增加附页，作为投标文件的组成部分。其中，投标函附录在满足招标文件实质性要求的基础上，可以提出比招标文件要求更有利于招标人的承诺。</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3.7.2投标文件应当对招标文件有关服务期、投标有效期、商务要求、服务范围等实质性内容作出响应。</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3.7.3 纸质版投标文件</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第六章投标文件格式中要求签章的地方，投标人均应签章。凡第六章投标文件格式中未明确要求投标人签章的地方，无需签章。</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3.7.4投标文件份数见投标人须知前附表。正本和副本的封面上应清楚地标记“正本”或“副本”的字样。当副本和正本不一致时，以正本为准。</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3.7.5投标文件的正本与副本应分别装订成册，（</w:t>
      </w:r>
      <w:r>
        <w:rPr>
          <w:rFonts w:hint="eastAsia" w:asciiTheme="minorEastAsia" w:hAnsiTheme="minorEastAsia" w:eastAsiaTheme="minorEastAsia" w:cstheme="minorEastAsia"/>
          <w:b/>
          <w:color w:val="000000" w:themeColor="text1"/>
          <w:sz w:val="28"/>
          <w:szCs w:val="28"/>
          <w14:textFill>
            <w14:solidFill>
              <w14:schemeClr w14:val="tx1"/>
            </w14:solidFill>
          </w14:textFill>
        </w:rPr>
        <w:t>本项目投标文件不得采用活页装订，应采用胶包装订方式</w:t>
      </w:r>
      <w:r>
        <w:rPr>
          <w:rFonts w:hint="eastAsia" w:asciiTheme="minorEastAsia" w:hAnsiTheme="minorEastAsia" w:eastAsiaTheme="minorEastAsia" w:cstheme="minorEastAsia"/>
          <w:color w:val="000000" w:themeColor="text1"/>
          <w:sz w:val="28"/>
          <w:szCs w:val="28"/>
          <w14:textFill>
            <w14:solidFill>
              <w14:schemeClr w14:val="tx1"/>
            </w14:solidFill>
          </w14:textFill>
        </w:rPr>
        <w:t>）。</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3.7.6 电子投标文件制作</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（1）电子投标文件为</w:t>
      </w:r>
      <w:r>
        <w:rPr>
          <w:rFonts w:hint="eastAsia" w:asciiTheme="minorEastAsia" w:hAnsiTheme="minorEastAsia" w:eastAsiaTheme="minorEastAsia" w:cstheme="minorEastAsia"/>
          <w:b/>
          <w:color w:val="000000" w:themeColor="text1"/>
          <w:sz w:val="28"/>
          <w:szCs w:val="28"/>
          <w14:textFill>
            <w14:solidFill>
              <w14:schemeClr w14:val="tx1"/>
            </w14:solidFill>
          </w14:textFill>
        </w:rPr>
        <w:t>PDF格式</w:t>
      </w:r>
      <w:r>
        <w:rPr>
          <w:rFonts w:hint="eastAsia" w:asciiTheme="minorEastAsia" w:hAnsiTheme="minorEastAsia" w:eastAsiaTheme="minorEastAsia" w:cstheme="minorEastAsia"/>
          <w:color w:val="000000" w:themeColor="text1"/>
          <w:sz w:val="28"/>
          <w:szCs w:val="28"/>
          <w14:textFill>
            <w14:solidFill>
              <w14:schemeClr w14:val="tx1"/>
            </w14:solidFill>
          </w14:textFill>
        </w:rPr>
        <w:t>，存入U盘中随纸质版文件一同密封提交。</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（2）电子投标文件中的证明资料的“复印件”均为“原件彩色扫描件”。</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（3）第六章投标文件格式中要求签字或盖章的地方，投标人均应签字或盖章。凡第六章投标文件格式中未明确要求投标人签章的地方，无需签章。</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（4）如招标人需对招标文件进行澄清、修改或补充，而发出电子招标澄清修改文件时，则投标人应以招标人最后发布的电子招标澄清修改文件制作电子投标文件。</w:t>
      </w:r>
    </w:p>
    <w:p>
      <w:pPr>
        <w:pStyle w:val="6"/>
        <w:rPr>
          <w:color w:val="000000" w:themeColor="text1"/>
          <w14:textFill>
            <w14:solidFill>
              <w14:schemeClr w14:val="tx1"/>
            </w14:solidFill>
          </w14:textFill>
        </w:rPr>
      </w:pPr>
      <w:bookmarkStart w:id="162" w:name="_Toc13935"/>
      <w:bookmarkStart w:id="163" w:name="_Toc7598"/>
      <w:bookmarkStart w:id="164" w:name="_Toc12544"/>
      <w:bookmarkStart w:id="165" w:name="_Toc19632"/>
      <w:bookmarkStart w:id="166" w:name="_Toc14351"/>
      <w:r>
        <w:rPr>
          <w:rFonts w:hint="eastAsia"/>
          <w:color w:val="000000" w:themeColor="text1"/>
          <w14:textFill>
            <w14:solidFill>
              <w14:schemeClr w14:val="tx1"/>
            </w14:solidFill>
          </w14:textFill>
        </w:rPr>
        <w:t>4. 投标</w:t>
      </w:r>
      <w:bookmarkEnd w:id="162"/>
      <w:bookmarkEnd w:id="163"/>
      <w:bookmarkEnd w:id="164"/>
      <w:bookmarkEnd w:id="165"/>
      <w:bookmarkEnd w:id="166"/>
    </w:p>
    <w:p>
      <w:pPr>
        <w:pStyle w:val="7"/>
        <w:keepNext w:val="0"/>
        <w:keepLines w:val="0"/>
        <w:spacing w:after="0" w:line="44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67" w:name="_Toc18603062"/>
      <w:bookmarkStart w:id="168" w:name="_Toc31829"/>
      <w:bookmarkStart w:id="169" w:name="_Toc27135"/>
      <w:bookmarkStart w:id="170" w:name="_Toc1954"/>
      <w:r>
        <w:rPr>
          <w:rFonts w:hint="eastAsia" w:asciiTheme="minorEastAsia" w:hAnsiTheme="minorEastAsia" w:eastAsiaTheme="minorEastAsia" w:cstheme="minorEastAsia"/>
          <w:color w:val="000000" w:themeColor="text1"/>
          <w:sz w:val="28"/>
          <w:szCs w:val="28"/>
          <w14:textFill>
            <w14:solidFill>
              <w14:schemeClr w14:val="tx1"/>
            </w14:solidFill>
          </w14:textFill>
        </w:rPr>
        <w:t>4.1 投标文件的密封和标识</w:t>
      </w:r>
      <w:bookmarkEnd w:id="167"/>
      <w:bookmarkEnd w:id="168"/>
      <w:bookmarkEnd w:id="169"/>
      <w:bookmarkEnd w:id="170"/>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4.1.1 电子投标文件</w:t>
      </w:r>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投标人将电子投标文件刻录至光盘或U盘中随纸质版文件一同密封提交。</w:t>
      </w:r>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4.1.2纸质版投标文件</w:t>
      </w:r>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必须将纸质版投标文件密封提交，可将投标文件统一密封或将正本和每份副本分别密封，所有投标文件的密封袋的封口处应加盖投标人印章。投标人应在封袋上正确标明“正本”或“副本”，所有封袋上都应写明招标人名称、项目名称、项目编号以及投标人的名称，并注明开标时间前不得开封。</w:t>
      </w:r>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4.1.3 未按本章第4.1.1项或第4.1.2项要求密封和加写标记的投标文件，招标人应予拒收。</w:t>
      </w:r>
    </w:p>
    <w:p>
      <w:pPr>
        <w:pStyle w:val="7"/>
        <w:keepNext w:val="0"/>
        <w:keepLines w:val="0"/>
        <w:spacing w:after="0" w:line="44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71" w:name="_Toc18603063"/>
      <w:bookmarkStart w:id="172" w:name="_Toc13962"/>
      <w:bookmarkStart w:id="173" w:name="_Toc9446"/>
      <w:bookmarkStart w:id="174" w:name="_Toc9052"/>
      <w:r>
        <w:rPr>
          <w:rFonts w:hint="eastAsia" w:asciiTheme="minorEastAsia" w:hAnsiTheme="minorEastAsia" w:eastAsiaTheme="minorEastAsia" w:cstheme="minorEastAsia"/>
          <w:color w:val="000000" w:themeColor="text1"/>
          <w:sz w:val="28"/>
          <w:szCs w:val="28"/>
          <w14:textFill>
            <w14:solidFill>
              <w14:schemeClr w14:val="tx1"/>
            </w14:solidFill>
          </w14:textFill>
        </w:rPr>
        <w:t>4.2 投标文件的递交</w:t>
      </w:r>
      <w:bookmarkEnd w:id="171"/>
      <w:bookmarkEnd w:id="172"/>
      <w:bookmarkEnd w:id="173"/>
      <w:bookmarkEnd w:id="174"/>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4.2.1 投标人递交投标文件的截止时间（投标截止时间）：见投标人须知前附表4.2.1项。</w:t>
      </w:r>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4.2.2 招标人可以修改通知的方式，酌情延长递交投标文件的截止日期。在此情况下，招标人与投标人以前的投标截止期方面的全部权力、责任和义务，将适用于延长后新的投标截止时间。</w:t>
      </w:r>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4.2.3超过投标截止时间送达的投标文件将被拒绝接收。</w:t>
      </w:r>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4.2.4到投标截止时间止，递交投标文件的投标人少于3个时，招标人将依法重新组织招标。</w:t>
      </w:r>
    </w:p>
    <w:p>
      <w:pPr>
        <w:pStyle w:val="7"/>
        <w:keepNext w:val="0"/>
        <w:keepLines w:val="0"/>
        <w:spacing w:after="0" w:line="44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75" w:name="_Toc18603064"/>
      <w:bookmarkStart w:id="176" w:name="_Toc15646"/>
      <w:bookmarkStart w:id="177" w:name="_Toc11938"/>
      <w:bookmarkStart w:id="178" w:name="_Toc875"/>
      <w:r>
        <w:rPr>
          <w:rFonts w:hint="eastAsia" w:asciiTheme="minorEastAsia" w:hAnsiTheme="minorEastAsia" w:eastAsiaTheme="minorEastAsia" w:cstheme="minorEastAsia"/>
          <w:color w:val="000000" w:themeColor="text1"/>
          <w:sz w:val="28"/>
          <w:szCs w:val="28"/>
          <w14:textFill>
            <w14:solidFill>
              <w14:schemeClr w14:val="tx1"/>
            </w14:solidFill>
          </w14:textFill>
        </w:rPr>
        <w:t>4.3 投标文件的修改与撤回</w:t>
      </w:r>
      <w:bookmarkEnd w:id="175"/>
      <w:bookmarkEnd w:id="176"/>
      <w:bookmarkEnd w:id="177"/>
      <w:bookmarkEnd w:id="178"/>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179" w:name="EB0136289d5cbd4b2fa6204b4b0668e04f"/>
      <w:r>
        <w:rPr>
          <w:rFonts w:hint="eastAsia" w:asciiTheme="minorEastAsia" w:hAnsiTheme="minorEastAsia" w:eastAsiaTheme="minorEastAsia" w:cstheme="minorEastAsia"/>
          <w:color w:val="000000" w:themeColor="text1"/>
          <w:sz w:val="28"/>
          <w:szCs w:val="28"/>
          <w14:textFill>
            <w14:solidFill>
              <w14:schemeClr w14:val="tx1"/>
            </w14:solidFill>
          </w14:textFill>
        </w:rPr>
        <w:t>4.3.1 在投标人须知前附表规定的投标截止时间前，投标人可以修改或撤回已递交的投标文件，但应以书面形式通知招标人。</w:t>
      </w:r>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4.3.2 投标人修改或撤回已递交投标文件的书面通知应按照招标文件的要求签字或盖章。招标人收到书面通知后，向投标人出具签收凭证。</w:t>
      </w:r>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4.3.3 修改的内容为投标文件的组成部分。修改的投标文件应按照本章第3条、第4条规定进行编制、密封、标记和递交，并标明“修改”字样。</w:t>
      </w:r>
    </w:p>
    <w:bookmarkEnd w:id="179"/>
    <w:p>
      <w:pPr>
        <w:pStyle w:val="6"/>
        <w:rPr>
          <w:color w:val="000000" w:themeColor="text1"/>
          <w14:textFill>
            <w14:solidFill>
              <w14:schemeClr w14:val="tx1"/>
            </w14:solidFill>
          </w14:textFill>
        </w:rPr>
      </w:pPr>
      <w:bookmarkStart w:id="180" w:name="_Toc522293510"/>
      <w:bookmarkStart w:id="181" w:name="_Toc18135"/>
      <w:bookmarkStart w:id="182" w:name="_Toc28810"/>
      <w:bookmarkStart w:id="183" w:name="_Toc16060"/>
      <w:bookmarkStart w:id="184" w:name="_Toc27941"/>
      <w:r>
        <w:rPr>
          <w:rFonts w:hint="eastAsia"/>
          <w:color w:val="000000" w:themeColor="text1"/>
          <w14:textFill>
            <w14:solidFill>
              <w14:schemeClr w14:val="tx1"/>
            </w14:solidFill>
          </w14:textFill>
        </w:rPr>
        <w:t>5. 开标</w:t>
      </w:r>
      <w:bookmarkEnd w:id="180"/>
      <w:bookmarkEnd w:id="181"/>
      <w:bookmarkEnd w:id="182"/>
      <w:bookmarkEnd w:id="183"/>
      <w:bookmarkEnd w:id="184"/>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85" w:name="_Toc18603065"/>
      <w:bookmarkStart w:id="186" w:name="_Toc8892"/>
      <w:bookmarkStart w:id="187" w:name="_Toc8745"/>
      <w:bookmarkStart w:id="188" w:name="_Toc23232"/>
      <w:r>
        <w:rPr>
          <w:rFonts w:hint="eastAsia" w:asciiTheme="minorEastAsia" w:hAnsiTheme="minorEastAsia" w:eastAsiaTheme="minorEastAsia" w:cstheme="minorEastAsia"/>
          <w:color w:val="000000" w:themeColor="text1"/>
          <w:sz w:val="28"/>
          <w:szCs w:val="28"/>
          <w14:textFill>
            <w14:solidFill>
              <w14:schemeClr w14:val="tx1"/>
            </w14:solidFill>
          </w14:textFill>
        </w:rPr>
        <w:t>5.1 开标时间和地点</w:t>
      </w:r>
      <w:bookmarkEnd w:id="185"/>
      <w:bookmarkEnd w:id="186"/>
      <w:bookmarkEnd w:id="187"/>
      <w:bookmarkEnd w:id="188"/>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5.1.1 招标人将于投标人须知前附表规定的时间和地点公开开标，并邀请所有投标人授权委托代表准时参加。</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授权委托代表必须按时参加开标会，并在招标人按开标程序进行点名时，向招标人提交二代身份证和法人授权委托书查验，以证明其出席。招标人核实确认并如实记入开标记录。投标人授权委托代表未按要求参加开标会的，其投标将被否决。</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89" w:name="_Toc18603066"/>
      <w:bookmarkStart w:id="190" w:name="_Toc31488"/>
      <w:bookmarkStart w:id="191" w:name="_Toc10548"/>
      <w:bookmarkStart w:id="192" w:name="_Toc15229"/>
      <w:r>
        <w:rPr>
          <w:rFonts w:hint="eastAsia" w:asciiTheme="minorEastAsia" w:hAnsiTheme="minorEastAsia" w:eastAsiaTheme="minorEastAsia" w:cstheme="minorEastAsia"/>
          <w:color w:val="000000" w:themeColor="text1"/>
          <w:sz w:val="28"/>
          <w:szCs w:val="28"/>
          <w14:textFill>
            <w14:solidFill>
              <w14:schemeClr w14:val="tx1"/>
            </w14:solidFill>
          </w14:textFill>
        </w:rPr>
        <w:t>5.2 开标程序</w:t>
      </w:r>
      <w:bookmarkEnd w:id="189"/>
      <w:bookmarkEnd w:id="190"/>
      <w:bookmarkEnd w:id="191"/>
      <w:bookmarkEnd w:id="192"/>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主持人按下列程序进行开标：</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（1）宣布开标会开始，并宣读开标纪律； </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（2）宣布主持人、招标人代表、记录人、监标人等有关人员姓名； </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（3）公布在投标截止时间前投标文件的递交情况，并由招标人核查投标人授权委托代表是否出席开标会并核实其身份；</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（4）对未按照第3.7.5项规定提交全部类型投标文件的投标人，其投标文件将被拒绝；</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（5）唱标，公布投标人名称、投标报价、服务期及其他内容；</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（6）招标人代表、监标人、记录人、投标人授权委托代表等在开标记录表上签字确认；</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（7）宣布评标期间注意事项；</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（8）开标结束。</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193" w:name="_Toc18603067"/>
      <w:bookmarkStart w:id="194" w:name="_Toc14154"/>
      <w:bookmarkStart w:id="195" w:name="_Toc31370"/>
      <w:bookmarkStart w:id="196" w:name="_Toc24285"/>
      <w:r>
        <w:rPr>
          <w:rFonts w:hint="eastAsia" w:asciiTheme="minorEastAsia" w:hAnsiTheme="minorEastAsia" w:eastAsiaTheme="minorEastAsia" w:cstheme="minorEastAsia"/>
          <w:color w:val="000000" w:themeColor="text1"/>
          <w:sz w:val="28"/>
          <w:szCs w:val="28"/>
          <w14:textFill>
            <w14:solidFill>
              <w14:schemeClr w14:val="tx1"/>
            </w14:solidFill>
          </w14:textFill>
        </w:rPr>
        <w:t>5.3 开标异议</w:t>
      </w:r>
      <w:bookmarkEnd w:id="193"/>
      <w:bookmarkEnd w:id="194"/>
      <w:bookmarkEnd w:id="195"/>
      <w:bookmarkEnd w:id="196"/>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5.3.1 投标人对开标有异议的，应当在开标现场提出；招标人当场对异议作出答复，并制作记录。</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本处所称异议是指投标人在开标现场对投标文件提交、投标截止时间、开标程序、投标文件密封、唱标内容、开标记录、唱标次序以及投标人和招标人或者投标人相互之间存在利益冲突的情形等提出的质疑。</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5.3.2 投标人异议成立的，招标人将及时采取纠正措施，或者提交评标委员会评审确认；投标人异议不成立的，招标人将当场给予解释说明。开标工作人员包括监督人员不应在开标现场对相关投标作出有效或者无效的判断。</w:t>
      </w:r>
    </w:p>
    <w:p>
      <w:pPr>
        <w:pStyle w:val="6"/>
        <w:rPr>
          <w:color w:val="000000" w:themeColor="text1"/>
          <w14:textFill>
            <w14:solidFill>
              <w14:schemeClr w14:val="tx1"/>
            </w14:solidFill>
          </w14:textFill>
        </w:rPr>
      </w:pPr>
      <w:bookmarkStart w:id="197" w:name="_Toc522293511"/>
      <w:bookmarkStart w:id="198" w:name="_Toc4650"/>
      <w:bookmarkStart w:id="199" w:name="_Toc20949"/>
      <w:bookmarkStart w:id="200" w:name="_Toc25751"/>
      <w:bookmarkStart w:id="201" w:name="_Toc14374"/>
      <w:bookmarkStart w:id="202" w:name="_Toc15684"/>
      <w:r>
        <w:rPr>
          <w:rFonts w:hint="eastAsia"/>
          <w:color w:val="000000" w:themeColor="text1"/>
          <w14:textFill>
            <w14:solidFill>
              <w14:schemeClr w14:val="tx1"/>
            </w14:solidFill>
          </w14:textFill>
        </w:rPr>
        <w:t>6. 评标</w:t>
      </w:r>
      <w:bookmarkEnd w:id="197"/>
      <w:bookmarkEnd w:id="198"/>
      <w:bookmarkEnd w:id="199"/>
      <w:bookmarkEnd w:id="200"/>
      <w:bookmarkEnd w:id="201"/>
      <w:bookmarkEnd w:id="202"/>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03" w:name="_Toc18603069"/>
      <w:bookmarkStart w:id="204" w:name="_Toc30701"/>
      <w:bookmarkStart w:id="205" w:name="_Toc6130"/>
      <w:bookmarkStart w:id="206" w:name="_Toc25980"/>
      <w:r>
        <w:rPr>
          <w:rFonts w:hint="eastAsia" w:asciiTheme="minorEastAsia" w:hAnsiTheme="minorEastAsia" w:eastAsiaTheme="minorEastAsia" w:cstheme="minorEastAsia"/>
          <w:color w:val="000000" w:themeColor="text1"/>
          <w:sz w:val="28"/>
          <w:szCs w:val="28"/>
          <w14:textFill>
            <w14:solidFill>
              <w14:schemeClr w14:val="tx1"/>
            </w14:solidFill>
          </w14:textFill>
        </w:rPr>
        <w:t>6.1 评标委员会</w:t>
      </w:r>
      <w:bookmarkEnd w:id="203"/>
      <w:bookmarkEnd w:id="204"/>
      <w:bookmarkEnd w:id="205"/>
      <w:bookmarkEnd w:id="206"/>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6.1.2 评标委员会成员有下列情形之一的，应当回避：</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（1）招标人或投标人的主要负责人的近亲属；</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（2）与投标人有经济利益关系或其他利害关系，可能影响对投标公正评审的；</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（3）曾因在招标、评标以及其他与招标投标有关活动中从事违法行为而受过行政处罚或刑事处罚的。</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07" w:name="_Toc18603070"/>
      <w:bookmarkStart w:id="208" w:name="_Toc14512"/>
      <w:bookmarkStart w:id="209" w:name="_Toc17994"/>
      <w:bookmarkStart w:id="210" w:name="_Toc26518"/>
      <w:r>
        <w:rPr>
          <w:rFonts w:hint="eastAsia" w:asciiTheme="minorEastAsia" w:hAnsiTheme="minorEastAsia" w:eastAsiaTheme="minorEastAsia" w:cstheme="minorEastAsia"/>
          <w:color w:val="000000" w:themeColor="text1"/>
          <w:sz w:val="28"/>
          <w:szCs w:val="28"/>
          <w14:textFill>
            <w14:solidFill>
              <w14:schemeClr w14:val="tx1"/>
            </w14:solidFill>
          </w14:textFill>
        </w:rPr>
        <w:t>6.2 评标原则</w:t>
      </w:r>
      <w:bookmarkEnd w:id="207"/>
      <w:bookmarkEnd w:id="208"/>
      <w:bookmarkEnd w:id="209"/>
      <w:bookmarkEnd w:id="210"/>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评标活动遵循公平、公正、科学和择优的原则。</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11" w:name="_Toc18603071"/>
      <w:bookmarkStart w:id="212" w:name="_Toc24760"/>
      <w:bookmarkStart w:id="213" w:name="_Toc19258"/>
      <w:bookmarkStart w:id="214" w:name="_Toc25062"/>
      <w:r>
        <w:rPr>
          <w:rFonts w:hint="eastAsia" w:asciiTheme="minorEastAsia" w:hAnsiTheme="minorEastAsia" w:eastAsiaTheme="minorEastAsia" w:cstheme="minorEastAsia"/>
          <w:color w:val="000000" w:themeColor="text1"/>
          <w:sz w:val="28"/>
          <w:szCs w:val="28"/>
          <w14:textFill>
            <w14:solidFill>
              <w14:schemeClr w14:val="tx1"/>
            </w14:solidFill>
          </w14:textFill>
        </w:rPr>
        <w:t>6.3 评标</w:t>
      </w:r>
      <w:bookmarkEnd w:id="211"/>
      <w:bookmarkEnd w:id="212"/>
      <w:bookmarkEnd w:id="213"/>
      <w:bookmarkEnd w:id="214"/>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评标委员会按照第三章“评标办法”规定的方法、评审因素、标准和程序对投标文件进行评审。第三章“评标办法”没有规定的方法、评审因素和标准，不作为评标依据。</w:t>
      </w:r>
    </w:p>
    <w:p>
      <w:pPr>
        <w:pStyle w:val="6"/>
        <w:rPr>
          <w:color w:val="000000" w:themeColor="text1"/>
          <w14:textFill>
            <w14:solidFill>
              <w14:schemeClr w14:val="tx1"/>
            </w14:solidFill>
          </w14:textFill>
        </w:rPr>
      </w:pPr>
      <w:bookmarkStart w:id="215" w:name="_Toc522293512"/>
      <w:bookmarkStart w:id="216" w:name="_Toc24350"/>
      <w:bookmarkStart w:id="217" w:name="_Toc24411"/>
      <w:bookmarkStart w:id="218" w:name="_Toc4343"/>
      <w:bookmarkStart w:id="219" w:name="_Toc21579"/>
      <w:bookmarkStart w:id="220" w:name="_Toc21108"/>
      <w:r>
        <w:rPr>
          <w:rFonts w:hint="eastAsia"/>
          <w:color w:val="000000" w:themeColor="text1"/>
          <w14:textFill>
            <w14:solidFill>
              <w14:schemeClr w14:val="tx1"/>
            </w14:solidFill>
          </w14:textFill>
        </w:rPr>
        <w:t>7. 合同授予</w:t>
      </w:r>
      <w:bookmarkEnd w:id="215"/>
      <w:bookmarkEnd w:id="216"/>
      <w:bookmarkEnd w:id="217"/>
      <w:bookmarkEnd w:id="218"/>
      <w:bookmarkEnd w:id="219"/>
      <w:bookmarkEnd w:id="220"/>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21" w:name="_Toc18603073"/>
      <w:bookmarkStart w:id="222" w:name="_Toc7730"/>
      <w:bookmarkStart w:id="223" w:name="_Toc29897"/>
      <w:bookmarkStart w:id="224" w:name="_Toc28562"/>
      <w:r>
        <w:rPr>
          <w:rFonts w:hint="eastAsia" w:asciiTheme="minorEastAsia" w:hAnsiTheme="minorEastAsia" w:eastAsiaTheme="minorEastAsia" w:cstheme="minorEastAsia"/>
          <w:color w:val="000000" w:themeColor="text1"/>
          <w:sz w:val="28"/>
          <w:szCs w:val="28"/>
          <w14:textFill>
            <w14:solidFill>
              <w14:schemeClr w14:val="tx1"/>
            </w14:solidFill>
          </w14:textFill>
        </w:rPr>
        <w:t>7.1</w:t>
      </w:r>
      <w:bookmarkEnd w:id="221"/>
      <w:bookmarkEnd w:id="222"/>
      <w:bookmarkEnd w:id="223"/>
      <w:bookmarkEnd w:id="224"/>
      <w:r>
        <w:rPr>
          <w:rFonts w:hint="eastAsia" w:asciiTheme="minorEastAsia" w:hAnsiTheme="minorEastAsia" w:eastAsiaTheme="minorEastAsia" w:cstheme="minorEastAsia"/>
          <w:color w:val="000000" w:themeColor="text1"/>
          <w:sz w:val="28"/>
          <w:szCs w:val="28"/>
          <w14:textFill>
            <w14:solidFill>
              <w14:schemeClr w14:val="tx1"/>
            </w14:solidFill>
          </w14:textFill>
        </w:rPr>
        <w:t>评标结果公告</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7.1.1 评标结果经审批后在宜昌交通旅游产业发展集团有限公司官网、</w:t>
      </w:r>
      <w:r>
        <w:rPr>
          <w:rFonts w:hint="eastAsia" w:ascii="宋体" w:hAnsi="宋体" w:cs="宋体"/>
          <w:bCs/>
          <w:color w:val="000000" w:themeColor="text1"/>
          <w:sz w:val="28"/>
          <w:szCs w:val="28"/>
          <w14:textFill>
            <w14:solidFill>
              <w14:schemeClr w14:val="tx1"/>
            </w14:solidFill>
          </w14:textFill>
        </w:rPr>
        <w:t>湖北三峡旅游集团股份有限公司官网</w:t>
      </w:r>
      <w:bookmarkStart w:id="513" w:name="_GoBack"/>
      <w:bookmarkEnd w:id="513"/>
      <w:r>
        <w:rPr>
          <w:rFonts w:hint="eastAsia" w:asciiTheme="minorEastAsia" w:hAnsiTheme="minorEastAsia" w:eastAsiaTheme="minorEastAsia" w:cstheme="minorEastAsia"/>
          <w:color w:val="000000" w:themeColor="text1"/>
          <w:sz w:val="28"/>
          <w:szCs w:val="28"/>
          <w14:textFill>
            <w14:solidFill>
              <w14:schemeClr w14:val="tx1"/>
            </w14:solidFill>
          </w14:textFill>
        </w:rPr>
        <w:t>公告3个工作日。</w:t>
      </w:r>
    </w:p>
    <w:p>
      <w:pPr>
        <w:pStyle w:val="7"/>
        <w:keepNext w:val="0"/>
        <w:keepLines w:val="0"/>
        <w:spacing w:after="0" w:line="460" w:lineRule="exact"/>
        <w:ind w:firstLine="560" w:firstLineChars="200"/>
        <w:rPr>
          <w:rFonts w:asciiTheme="minorEastAsia" w:hAnsiTheme="minorEastAsia" w:eastAsiaTheme="minorEastAsia" w:cstheme="minorEastAsia"/>
          <w:b w:val="0"/>
          <w:bCs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 xml:space="preserve">7.1.2 </w:t>
      </w:r>
      <w:bookmarkStart w:id="225" w:name="_Toc17159"/>
      <w:bookmarkStart w:id="226" w:name="_Toc18603074"/>
      <w:bookmarkStart w:id="227" w:name="_Toc5279"/>
      <w:bookmarkStart w:id="228" w:name="_Toc21029"/>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投标人或者其他利害关系人对结果有异议的,应在公告期内以书面形式向招标人提出, 招标人将自收到异议之日起 3 日内作出书面答复,作出答复前,暂停招标活动；投标人或者其他利害关系人对招标人答复仍持有异议的，应当在收到答复之日起10日内持招标人的答复及投诉书，向上级管理机构提出投诉。投诉处理结束前,暂停招标活动，但暂停时间最长不得超过30日。</w:t>
      </w:r>
    </w:p>
    <w:bookmarkEnd w:id="225"/>
    <w:bookmarkEnd w:id="226"/>
    <w:bookmarkEnd w:id="227"/>
    <w:bookmarkEnd w:id="228"/>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29" w:name="_Toc18603075"/>
      <w:bookmarkStart w:id="230" w:name="_Toc12013"/>
      <w:bookmarkStart w:id="231" w:name="_Toc26564"/>
      <w:bookmarkStart w:id="232" w:name="_Toc8891"/>
      <w:r>
        <w:rPr>
          <w:rFonts w:hint="eastAsia" w:asciiTheme="minorEastAsia" w:hAnsiTheme="minorEastAsia" w:eastAsiaTheme="minorEastAsia" w:cstheme="minorEastAsia"/>
          <w:color w:val="000000" w:themeColor="text1"/>
          <w:sz w:val="28"/>
          <w:szCs w:val="28"/>
          <w14:textFill>
            <w14:solidFill>
              <w14:schemeClr w14:val="tx1"/>
            </w14:solidFill>
          </w14:textFill>
        </w:rPr>
        <w:t>7.2履约能力的审查（如有）</w:t>
      </w:r>
      <w:bookmarkEnd w:id="229"/>
      <w:bookmarkEnd w:id="230"/>
      <w:bookmarkEnd w:id="231"/>
      <w:bookmarkEnd w:id="232"/>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如果中标候选人的经营、财务状况发生较大变化或者存在违法行为，招标人认为可能影响其履约能力的，将在发出中标通知书前报请监督部门后，召集原评标委员会按照招标文件规定的标准和方法审查确认。</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33" w:name="_Toc18603077"/>
      <w:bookmarkStart w:id="234" w:name="_Toc801"/>
      <w:bookmarkStart w:id="235" w:name="_Toc7033"/>
      <w:bookmarkStart w:id="236" w:name="_Toc22157"/>
      <w:r>
        <w:rPr>
          <w:rFonts w:hint="eastAsia" w:asciiTheme="minorEastAsia" w:hAnsiTheme="minorEastAsia" w:eastAsiaTheme="minorEastAsia" w:cstheme="minorEastAsia"/>
          <w:color w:val="000000" w:themeColor="text1"/>
          <w:sz w:val="28"/>
          <w:szCs w:val="28"/>
          <w14:textFill>
            <w14:solidFill>
              <w14:schemeClr w14:val="tx1"/>
            </w14:solidFill>
          </w14:textFill>
        </w:rPr>
        <w:t>7.3 履约保证金</w:t>
      </w:r>
      <w:bookmarkEnd w:id="233"/>
      <w:bookmarkEnd w:id="234"/>
      <w:bookmarkEnd w:id="235"/>
      <w:bookmarkEnd w:id="236"/>
    </w:p>
    <w:p>
      <w:pPr>
        <w:pStyle w:val="7"/>
        <w:keepNext w:val="0"/>
        <w:keepLines w:val="0"/>
        <w:spacing w:after="0" w:line="460" w:lineRule="exact"/>
        <w:ind w:firstLine="560" w:firstLineChars="200"/>
        <w:rPr>
          <w:rFonts w:asciiTheme="minorEastAsia" w:hAnsiTheme="minorEastAsia" w:eastAsiaTheme="minorEastAsia" w:cstheme="minorEastAsia"/>
          <w:b w:val="0"/>
          <w:bCs w:val="0"/>
          <w:color w:val="000000" w:themeColor="text1"/>
          <w:sz w:val="28"/>
          <w:szCs w:val="28"/>
          <w14:textFill>
            <w14:solidFill>
              <w14:schemeClr w14:val="tx1"/>
            </w14:solidFill>
          </w14:textFill>
        </w:rPr>
      </w:pPr>
      <w:bookmarkStart w:id="237" w:name="_Toc18603078"/>
      <w:bookmarkStart w:id="238" w:name="_Toc4566"/>
      <w:bookmarkStart w:id="239" w:name="_Toc12216"/>
      <w:bookmarkStart w:id="240" w:name="_Toc11741"/>
      <w:r>
        <w:rPr>
          <w:rFonts w:hint="eastAsia" w:asciiTheme="minorEastAsia" w:hAnsiTheme="minorEastAsia" w:eastAsiaTheme="minorEastAsia" w:cstheme="minorEastAsia"/>
          <w:b w:val="0"/>
          <w:bCs w:val="0"/>
          <w:color w:val="000000" w:themeColor="text1"/>
          <w:sz w:val="28"/>
          <w:szCs w:val="28"/>
          <w14:textFill>
            <w14:solidFill>
              <w14:schemeClr w14:val="tx1"/>
            </w14:solidFill>
          </w14:textFill>
        </w:rPr>
        <w:t>7.3.1中标人不履行与招标人订立的合同的，给招标人造成损失的，应予以赔偿。履约保证金不予退还。</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7.4签订合同</w:t>
      </w:r>
      <w:bookmarkEnd w:id="237"/>
      <w:bookmarkEnd w:id="238"/>
      <w:bookmarkEnd w:id="239"/>
      <w:bookmarkEnd w:id="240"/>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7.4.1 招标人和中标人应当在投标有效期内并自中标通知书发出之日起30日内，根据招标文件和中标人的投标文件订立书面合同。中标人无正当理由拒签合同或在签订合同时向招标人提出附加条件的，招标人取消其中标资格；给招标人造成的损失，中标人还应当予以赔偿。 </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7.4.2 发出中标通知书后，因招标人无正当理由拒签合同给中标人造成损失的，还应当赔偿损失。</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7.4.3 签约合同价的确定原则如下：</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开标时投标函中大写投标总价应为签约合同价。按照第三章“评标办法”的规定，如投标报价有算术错误的，修正的价格经投标人书面确认后，以修正后的投标总价为签约合同价。</w:t>
      </w:r>
    </w:p>
    <w:p>
      <w:pPr>
        <w:pStyle w:val="6"/>
        <w:rPr>
          <w:color w:val="000000" w:themeColor="text1"/>
          <w14:textFill>
            <w14:solidFill>
              <w14:schemeClr w14:val="tx1"/>
            </w14:solidFill>
          </w14:textFill>
        </w:rPr>
      </w:pPr>
      <w:bookmarkStart w:id="241" w:name="_Toc20316"/>
      <w:bookmarkStart w:id="242" w:name="_Toc11052"/>
      <w:bookmarkStart w:id="243" w:name="_Toc522293513"/>
      <w:bookmarkStart w:id="244" w:name="_Toc17768"/>
      <w:bookmarkStart w:id="245" w:name="_Toc22682"/>
      <w:bookmarkStart w:id="246" w:name="_Toc18221"/>
      <w:r>
        <w:rPr>
          <w:rFonts w:hint="eastAsia"/>
          <w:color w:val="000000" w:themeColor="text1"/>
          <w14:textFill>
            <w14:solidFill>
              <w14:schemeClr w14:val="tx1"/>
            </w14:solidFill>
          </w14:textFill>
        </w:rPr>
        <w:t>8.重新招标、不再招标和终止招标</w:t>
      </w:r>
      <w:bookmarkEnd w:id="241"/>
      <w:bookmarkEnd w:id="242"/>
      <w:bookmarkEnd w:id="243"/>
      <w:bookmarkEnd w:id="244"/>
      <w:bookmarkEnd w:id="245"/>
      <w:bookmarkEnd w:id="246"/>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47" w:name="_Toc18603080"/>
      <w:bookmarkStart w:id="248" w:name="_Toc22684"/>
      <w:bookmarkStart w:id="249" w:name="_Toc18308"/>
      <w:bookmarkStart w:id="250" w:name="_Toc25226"/>
      <w:r>
        <w:rPr>
          <w:rFonts w:hint="eastAsia" w:asciiTheme="minorEastAsia" w:hAnsiTheme="minorEastAsia" w:eastAsiaTheme="minorEastAsia" w:cstheme="minorEastAsia"/>
          <w:color w:val="000000" w:themeColor="text1"/>
          <w:sz w:val="28"/>
          <w:szCs w:val="28"/>
          <w14:textFill>
            <w14:solidFill>
              <w14:schemeClr w14:val="tx1"/>
            </w14:solidFill>
          </w14:textFill>
        </w:rPr>
        <w:t>8.1 重新招标</w:t>
      </w:r>
      <w:bookmarkEnd w:id="247"/>
      <w:bookmarkEnd w:id="248"/>
      <w:bookmarkEnd w:id="249"/>
      <w:bookmarkEnd w:id="250"/>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8.1.1有下列情形之一的，招标人将重新招标：</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（1）投标截止时间止，投标人少于3个的；</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（2）经评标委员会评审后否决所有投标的；</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（3）除非已经产生中标候选人，在投标有效期内同意延长投标有效期的投标人少于三个的；</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（4）第一中标候选人或所有中标候选人均未与招标人签订合同的；</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（5）法律、法规规定的其他情形。</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8.1.2 重新招标后投标人仍少于3个或者所有投标被否决的，招标人将采用竞争性谈判的方式采购。</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51" w:name="_Toc18603081"/>
      <w:bookmarkStart w:id="252" w:name="_Toc2197"/>
      <w:bookmarkStart w:id="253" w:name="_Toc2139"/>
      <w:bookmarkStart w:id="254" w:name="_Toc16627"/>
      <w:r>
        <w:rPr>
          <w:rFonts w:hint="eastAsia" w:asciiTheme="minorEastAsia" w:hAnsiTheme="minorEastAsia" w:eastAsiaTheme="minorEastAsia" w:cstheme="minorEastAsia"/>
          <w:color w:val="000000" w:themeColor="text1"/>
          <w:sz w:val="28"/>
          <w:szCs w:val="28"/>
          <w14:textFill>
            <w14:solidFill>
              <w14:schemeClr w14:val="tx1"/>
            </w14:solidFill>
          </w14:textFill>
        </w:rPr>
        <w:t>8</w:t>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.2 </w:t>
      </w:r>
      <w:bookmarkEnd w:id="251"/>
      <w:bookmarkEnd w:id="252"/>
      <w:bookmarkEnd w:id="253"/>
      <w:bookmarkEnd w:id="254"/>
      <w:r>
        <w:rPr>
          <w:rFonts w:hint="eastAsia" w:asciiTheme="minorEastAsia" w:hAnsiTheme="minorEastAsia" w:eastAsiaTheme="minorEastAsia" w:cstheme="minorEastAsia"/>
          <w:color w:val="000000" w:themeColor="text1"/>
          <w:sz w:val="28"/>
          <w:szCs w:val="28"/>
          <w14:textFill>
            <w14:solidFill>
              <w14:schemeClr w14:val="tx1"/>
            </w14:solidFill>
          </w14:textFill>
        </w:rPr>
        <w:t>不再招标</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采用竞争性谈判仍然失败的，经领导批准后可不再进行招标。</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55" w:name="_Toc8440"/>
      <w:bookmarkStart w:id="256" w:name="_Toc18603082"/>
      <w:bookmarkStart w:id="257" w:name="_Toc8687"/>
      <w:bookmarkStart w:id="258" w:name="_Toc32326"/>
      <w:r>
        <w:rPr>
          <w:rFonts w:hint="eastAsia" w:asciiTheme="minorEastAsia" w:hAnsiTheme="minorEastAsia" w:eastAsiaTheme="minorEastAsia" w:cstheme="minorEastAsia"/>
          <w:color w:val="000000" w:themeColor="text1"/>
          <w:sz w:val="28"/>
          <w:szCs w:val="28"/>
          <w14:textFill>
            <w14:solidFill>
              <w14:schemeClr w14:val="tx1"/>
            </w14:solidFill>
          </w14:textFill>
        </w:rPr>
        <w:t>8.3 终止招标</w:t>
      </w:r>
      <w:bookmarkEnd w:id="255"/>
      <w:bookmarkEnd w:id="256"/>
      <w:bookmarkEnd w:id="257"/>
      <w:bookmarkEnd w:id="258"/>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因不可抗力等原因，招标人终止招标的，将及时发布公告，或者以书面形式通知已经获取招标文件的潜在投标人。</w:t>
      </w:r>
    </w:p>
    <w:p>
      <w:pPr>
        <w:pStyle w:val="6"/>
        <w:rPr>
          <w:color w:val="000000" w:themeColor="text1"/>
          <w14:textFill>
            <w14:solidFill>
              <w14:schemeClr w14:val="tx1"/>
            </w14:solidFill>
          </w14:textFill>
        </w:rPr>
      </w:pPr>
      <w:bookmarkStart w:id="259" w:name="_Toc522293514"/>
      <w:bookmarkStart w:id="260" w:name="_Toc12079"/>
      <w:bookmarkStart w:id="261" w:name="_Toc29886"/>
      <w:bookmarkStart w:id="262" w:name="_Toc2405"/>
      <w:bookmarkStart w:id="263" w:name="_Toc32605"/>
      <w:bookmarkStart w:id="264" w:name="_Toc15699"/>
      <w:r>
        <w:rPr>
          <w:rFonts w:hint="eastAsia"/>
          <w:color w:val="000000" w:themeColor="text1"/>
          <w14:textFill>
            <w14:solidFill>
              <w14:schemeClr w14:val="tx1"/>
            </w14:solidFill>
          </w14:textFill>
        </w:rPr>
        <w:t>9. 纪律和监督</w:t>
      </w:r>
      <w:bookmarkEnd w:id="259"/>
      <w:bookmarkEnd w:id="260"/>
      <w:bookmarkEnd w:id="261"/>
      <w:bookmarkEnd w:id="262"/>
      <w:bookmarkEnd w:id="263"/>
      <w:bookmarkEnd w:id="264"/>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65" w:name="_Toc18603084"/>
      <w:bookmarkStart w:id="266" w:name="_Toc4013"/>
      <w:bookmarkStart w:id="267" w:name="_Toc7894"/>
      <w:bookmarkStart w:id="268" w:name="_Toc22592"/>
      <w:r>
        <w:rPr>
          <w:rFonts w:hint="eastAsia" w:asciiTheme="minorEastAsia" w:hAnsiTheme="minorEastAsia" w:eastAsiaTheme="minorEastAsia" w:cstheme="minorEastAsia"/>
          <w:color w:val="000000" w:themeColor="text1"/>
          <w:sz w:val="28"/>
          <w:szCs w:val="28"/>
          <w14:textFill>
            <w14:solidFill>
              <w14:schemeClr w14:val="tx1"/>
            </w14:solidFill>
          </w14:textFill>
        </w:rPr>
        <w:t>9.1 对招标人的纪律要求</w:t>
      </w:r>
      <w:bookmarkEnd w:id="265"/>
      <w:bookmarkEnd w:id="266"/>
      <w:bookmarkEnd w:id="267"/>
      <w:bookmarkEnd w:id="268"/>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招标人不得泄漏招标投标活动中应当保密的情况和资料，不得与投标人串通损害国家利益、社会公共利益或者他人合法权益。</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69" w:name="_Toc18603085"/>
      <w:bookmarkStart w:id="270" w:name="_Toc29942"/>
      <w:bookmarkStart w:id="271" w:name="_Toc457"/>
      <w:bookmarkStart w:id="272" w:name="_Toc25365"/>
      <w:r>
        <w:rPr>
          <w:rFonts w:hint="eastAsia" w:asciiTheme="minorEastAsia" w:hAnsiTheme="minorEastAsia" w:eastAsiaTheme="minorEastAsia" w:cstheme="minorEastAsia"/>
          <w:color w:val="000000" w:themeColor="text1"/>
          <w:sz w:val="28"/>
          <w:szCs w:val="28"/>
          <w14:textFill>
            <w14:solidFill>
              <w14:schemeClr w14:val="tx1"/>
            </w14:solidFill>
          </w14:textFill>
        </w:rPr>
        <w:t>9.2 对投标人的纪律要求</w:t>
      </w:r>
      <w:bookmarkEnd w:id="269"/>
      <w:bookmarkEnd w:id="270"/>
      <w:bookmarkEnd w:id="271"/>
      <w:bookmarkEnd w:id="272"/>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73" w:name="_Toc18603086"/>
      <w:bookmarkStart w:id="274" w:name="_Toc4685"/>
      <w:bookmarkStart w:id="275" w:name="_Toc22543"/>
      <w:bookmarkStart w:id="276" w:name="_Toc27915"/>
      <w:r>
        <w:rPr>
          <w:rFonts w:hint="eastAsia" w:asciiTheme="minorEastAsia" w:hAnsiTheme="minorEastAsia" w:eastAsiaTheme="minorEastAsia" w:cstheme="minorEastAsia"/>
          <w:color w:val="000000" w:themeColor="text1"/>
          <w:sz w:val="28"/>
          <w:szCs w:val="28"/>
          <w14:textFill>
            <w14:solidFill>
              <w14:schemeClr w14:val="tx1"/>
            </w14:solidFill>
          </w14:textFill>
        </w:rPr>
        <w:t>9.3 对评标委员会成员的纪律要求</w:t>
      </w:r>
      <w:bookmarkEnd w:id="273"/>
      <w:bookmarkEnd w:id="274"/>
      <w:bookmarkEnd w:id="275"/>
      <w:bookmarkEnd w:id="276"/>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得使用第三章“评标办法”没有规定的评审因素和标准进行评标。</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77" w:name="_Toc18603087"/>
      <w:bookmarkStart w:id="278" w:name="_Toc17508"/>
      <w:bookmarkStart w:id="279" w:name="_Toc23823"/>
      <w:bookmarkStart w:id="280" w:name="_Toc20214"/>
      <w:r>
        <w:rPr>
          <w:rFonts w:hint="eastAsia" w:asciiTheme="minorEastAsia" w:hAnsiTheme="minorEastAsia" w:eastAsiaTheme="minorEastAsia" w:cstheme="minorEastAsia"/>
          <w:color w:val="000000" w:themeColor="text1"/>
          <w:sz w:val="28"/>
          <w:szCs w:val="28"/>
          <w14:textFill>
            <w14:solidFill>
              <w14:schemeClr w14:val="tx1"/>
            </w14:solidFill>
          </w14:textFill>
        </w:rPr>
        <w:t>9.4 对与评标活动有关的工作人员的纪律要求</w:t>
      </w:r>
      <w:bookmarkEnd w:id="277"/>
      <w:bookmarkEnd w:id="278"/>
      <w:bookmarkEnd w:id="279"/>
      <w:bookmarkEnd w:id="280"/>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pStyle w:val="7"/>
        <w:keepNext w:val="0"/>
        <w:keepLines w:val="0"/>
        <w:spacing w:after="0" w:line="46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81" w:name="_Toc18603088"/>
      <w:bookmarkStart w:id="282" w:name="_Toc31413"/>
      <w:bookmarkStart w:id="283" w:name="_Toc26378"/>
      <w:bookmarkStart w:id="284" w:name="_Toc27709"/>
      <w:r>
        <w:rPr>
          <w:rFonts w:hint="eastAsia" w:asciiTheme="minorEastAsia" w:hAnsiTheme="minorEastAsia" w:eastAsiaTheme="minorEastAsia" w:cstheme="minorEastAsia"/>
          <w:color w:val="000000" w:themeColor="text1"/>
          <w:sz w:val="28"/>
          <w:szCs w:val="28"/>
          <w14:textFill>
            <w14:solidFill>
              <w14:schemeClr w14:val="tx1"/>
            </w14:solidFill>
          </w14:textFill>
        </w:rPr>
        <w:t>9.5 投诉</w:t>
      </w:r>
      <w:bookmarkEnd w:id="281"/>
      <w:bookmarkEnd w:id="282"/>
      <w:bookmarkEnd w:id="283"/>
      <w:bookmarkEnd w:id="284"/>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本次招标投标活动及其相关当事人应当接受监督部门的监督。</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和其他利害关系人认为本次招标活动违反法律、法规和规章规定的，有权自知道或者应当知道之日起3日内向有关行政监督部门投诉，其中对招标文件的内容、开标、评标结果进行投诉的，应当按本章第2.3款、第3.2.3项、第5.4款、第7.1.2项的规定先向招标人提出异议后，方可向有关行政监督部门投诉，异议答复期不计算在规定的投诉时效期限内。</w:t>
      </w:r>
    </w:p>
    <w:p>
      <w:pPr>
        <w:pStyle w:val="6"/>
        <w:rPr>
          <w:color w:val="000000" w:themeColor="text1"/>
          <w14:textFill>
            <w14:solidFill>
              <w14:schemeClr w14:val="tx1"/>
            </w14:solidFill>
          </w14:textFill>
        </w:rPr>
      </w:pPr>
      <w:bookmarkStart w:id="285" w:name="_Toc522293515"/>
      <w:bookmarkStart w:id="286" w:name="_Toc10190"/>
      <w:bookmarkStart w:id="287" w:name="_Toc28978"/>
      <w:bookmarkStart w:id="288" w:name="_Toc11477"/>
      <w:bookmarkStart w:id="289" w:name="_Toc17412"/>
      <w:bookmarkStart w:id="290" w:name="_Toc19040"/>
      <w:r>
        <w:rPr>
          <w:rFonts w:hint="eastAsia"/>
          <w:color w:val="000000" w:themeColor="text1"/>
          <w14:textFill>
            <w14:solidFill>
              <w14:schemeClr w14:val="tx1"/>
            </w14:solidFill>
          </w14:textFill>
        </w:rPr>
        <w:t>10. 需要补充的其他内容</w:t>
      </w:r>
      <w:bookmarkEnd w:id="285"/>
      <w:bookmarkEnd w:id="286"/>
      <w:bookmarkEnd w:id="287"/>
      <w:bookmarkEnd w:id="288"/>
      <w:bookmarkEnd w:id="289"/>
      <w:bookmarkEnd w:id="290"/>
    </w:p>
    <w:p>
      <w:pPr>
        <w:pStyle w:val="7"/>
        <w:keepNext w:val="0"/>
        <w:keepLines w:val="0"/>
        <w:spacing w:after="0" w:line="44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91" w:name="_Toc18603090"/>
      <w:bookmarkStart w:id="292" w:name="_Toc994"/>
      <w:bookmarkStart w:id="293" w:name="_Toc25646"/>
      <w:bookmarkStart w:id="294" w:name="_Toc970"/>
      <w:r>
        <w:rPr>
          <w:rFonts w:hint="eastAsia" w:asciiTheme="minorEastAsia" w:hAnsiTheme="minorEastAsia" w:eastAsiaTheme="minorEastAsia" w:cstheme="minorEastAsia"/>
          <w:color w:val="000000" w:themeColor="text1"/>
          <w:sz w:val="28"/>
          <w:szCs w:val="28"/>
          <w14:textFill>
            <w14:solidFill>
              <w14:schemeClr w14:val="tx1"/>
            </w14:solidFill>
          </w14:textFill>
        </w:rPr>
        <w:t>10.1 多标段投标</w:t>
      </w:r>
      <w:bookmarkEnd w:id="291"/>
      <w:bookmarkEnd w:id="292"/>
      <w:bookmarkEnd w:id="293"/>
      <w:bookmarkEnd w:id="294"/>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无</w:t>
      </w:r>
    </w:p>
    <w:p>
      <w:pPr>
        <w:pStyle w:val="7"/>
        <w:keepNext w:val="0"/>
        <w:keepLines w:val="0"/>
        <w:spacing w:after="0" w:line="44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95" w:name="_Toc18603091"/>
      <w:bookmarkStart w:id="296" w:name="_Toc25101"/>
      <w:bookmarkStart w:id="297" w:name="_Toc18466"/>
      <w:bookmarkStart w:id="298" w:name="_Toc11610"/>
      <w:r>
        <w:rPr>
          <w:rFonts w:hint="eastAsia" w:asciiTheme="minorEastAsia" w:hAnsiTheme="minorEastAsia" w:eastAsiaTheme="minorEastAsia" w:cstheme="minorEastAsia"/>
          <w:color w:val="000000" w:themeColor="text1"/>
          <w:sz w:val="28"/>
          <w:szCs w:val="28"/>
          <w14:textFill>
            <w14:solidFill>
              <w14:schemeClr w14:val="tx1"/>
            </w14:solidFill>
          </w14:textFill>
        </w:rPr>
        <w:t>10.2 知识产权</w:t>
      </w:r>
      <w:bookmarkEnd w:id="295"/>
      <w:bookmarkEnd w:id="296"/>
      <w:bookmarkEnd w:id="297"/>
      <w:bookmarkEnd w:id="298"/>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有关知识产权的规定：见投标人须知前附表。</w:t>
      </w:r>
    </w:p>
    <w:p>
      <w:pPr>
        <w:pStyle w:val="7"/>
        <w:keepNext w:val="0"/>
        <w:keepLines w:val="0"/>
        <w:spacing w:after="0" w:line="44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299" w:name="_Toc18603092"/>
      <w:bookmarkStart w:id="300" w:name="_Toc23238"/>
      <w:bookmarkStart w:id="301" w:name="_Toc20925"/>
      <w:bookmarkStart w:id="302" w:name="_Toc31602"/>
      <w:r>
        <w:rPr>
          <w:rFonts w:hint="eastAsia" w:asciiTheme="minorEastAsia" w:hAnsiTheme="minorEastAsia" w:eastAsiaTheme="minorEastAsia" w:cstheme="minorEastAsia"/>
          <w:color w:val="000000" w:themeColor="text1"/>
          <w:sz w:val="28"/>
          <w:szCs w:val="28"/>
          <w14:textFill>
            <w14:solidFill>
              <w14:schemeClr w14:val="tx1"/>
            </w14:solidFill>
          </w14:textFill>
        </w:rPr>
        <w:t>10.3解释权</w:t>
      </w:r>
      <w:bookmarkEnd w:id="299"/>
      <w:bookmarkEnd w:id="300"/>
      <w:bookmarkEnd w:id="301"/>
      <w:bookmarkEnd w:id="302"/>
    </w:p>
    <w:p>
      <w:pPr>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有关招标文件的解释权：见投标人须知前附表。</w:t>
      </w:r>
    </w:p>
    <w:p>
      <w:pPr>
        <w:pStyle w:val="7"/>
        <w:keepNext w:val="0"/>
        <w:keepLines w:val="0"/>
        <w:spacing w:after="0" w:line="440" w:lineRule="exact"/>
        <w:ind w:firstLine="562" w:firstLineChars="200"/>
        <w:rPr>
          <w:rFonts w:asciiTheme="minorEastAsia" w:hAnsiTheme="minorEastAsia" w:eastAsiaTheme="minorEastAsia" w:cstheme="minorEastAsia"/>
          <w:color w:val="000000" w:themeColor="text1"/>
          <w:sz w:val="28"/>
          <w:szCs w:val="28"/>
          <w14:textFill>
            <w14:solidFill>
              <w14:schemeClr w14:val="tx1"/>
            </w14:solidFill>
          </w14:textFill>
        </w:rPr>
      </w:pPr>
      <w:bookmarkStart w:id="303" w:name="_Toc18603093"/>
      <w:bookmarkStart w:id="304" w:name="_Toc29982"/>
      <w:bookmarkStart w:id="305" w:name="_Toc23099"/>
      <w:bookmarkStart w:id="306" w:name="_Toc24704"/>
      <w:r>
        <w:rPr>
          <w:rFonts w:hint="eastAsia" w:asciiTheme="minorEastAsia" w:hAnsiTheme="minorEastAsia" w:eastAsiaTheme="minorEastAsia" w:cstheme="minorEastAsia"/>
          <w:color w:val="000000" w:themeColor="text1"/>
          <w:sz w:val="28"/>
          <w:szCs w:val="28"/>
          <w14:textFill>
            <w14:solidFill>
              <w14:schemeClr w14:val="tx1"/>
            </w14:solidFill>
          </w14:textFill>
        </w:rPr>
        <w:t>10.4 招标人补充的其他内容</w:t>
      </w:r>
      <w:bookmarkEnd w:id="303"/>
      <w:bookmarkEnd w:id="304"/>
      <w:bookmarkEnd w:id="305"/>
      <w:bookmarkEnd w:id="306"/>
    </w:p>
    <w:p>
      <w:pPr>
        <w:pStyle w:val="7"/>
        <w:keepNext w:val="0"/>
        <w:keepLines w:val="0"/>
        <w:spacing w:after="0" w:line="440" w:lineRule="exact"/>
        <w:ind w:left="0" w:leftChars="0" w:firstLine="0" w:firstLineChars="0"/>
        <w:jc w:val="center"/>
        <w:rPr>
          <w:rFonts w:cs="宋体"/>
          <w:color w:val="000000" w:themeColor="text1"/>
          <w:sz w:val="28"/>
          <w:szCs w:val="28"/>
          <w14:textFill>
            <w14:solidFill>
              <w14:schemeClr w14:val="tx1"/>
            </w14:solidFill>
          </w14:textFill>
        </w:rPr>
      </w:pPr>
      <w:r>
        <w:rPr>
          <w:rFonts w:hint="eastAsia" w:cs="宋体"/>
          <w:b w:val="0"/>
          <w:bCs w:val="0"/>
          <w:color w:val="000000" w:themeColor="text1"/>
          <w14:textFill>
            <w14:solidFill>
              <w14:schemeClr w14:val="tx1"/>
            </w14:solidFill>
          </w14:textFill>
        </w:rPr>
        <w:br w:type="page"/>
      </w:r>
      <w:bookmarkStart w:id="307" w:name="_Toc29761"/>
      <w:bookmarkStart w:id="308" w:name="_Toc522293516"/>
      <w:bookmarkStart w:id="309" w:name="_Toc14444"/>
      <w:bookmarkStart w:id="310" w:name="_Toc18603094"/>
      <w:bookmarkStart w:id="311" w:name="_Toc7677"/>
      <w:bookmarkStart w:id="312" w:name="_Toc16322"/>
      <w:r>
        <w:rPr>
          <w:rFonts w:hint="eastAsia" w:cs="宋体"/>
          <w:color w:val="000000" w:themeColor="text1"/>
          <w:sz w:val="28"/>
          <w:szCs w:val="28"/>
          <w14:textFill>
            <w14:solidFill>
              <w14:schemeClr w14:val="tx1"/>
            </w14:solidFill>
          </w14:textFill>
        </w:rPr>
        <w:t>附表一：招标结果通知书</w:t>
      </w:r>
      <w:bookmarkEnd w:id="307"/>
      <w:bookmarkEnd w:id="308"/>
      <w:bookmarkEnd w:id="309"/>
      <w:bookmarkEnd w:id="310"/>
      <w:bookmarkEnd w:id="311"/>
      <w:bookmarkEnd w:id="312"/>
    </w:p>
    <w:p>
      <w:pPr>
        <w:rPr>
          <w:rFonts w:cs="宋体"/>
          <w:color w:val="000000" w:themeColor="text1"/>
          <w:sz w:val="28"/>
          <w:szCs w:val="28"/>
          <w14:textFill>
            <w14:solidFill>
              <w14:schemeClr w14:val="tx1"/>
            </w14:solidFill>
          </w14:textFill>
        </w:rPr>
      </w:pPr>
    </w:p>
    <w:p>
      <w:pPr>
        <w:pStyle w:val="2"/>
        <w:rPr>
          <w:color w:val="000000" w:themeColor="text1"/>
          <w14:textFill>
            <w14:solidFill>
              <w14:schemeClr w14:val="tx1"/>
            </w14:solidFill>
          </w14:textFill>
        </w:rPr>
      </w:pPr>
    </w:p>
    <w:p>
      <w:pPr>
        <w:rPr>
          <w:rFonts w:ascii="宋体" w:hAnsi="宋体" w:cs="宋体"/>
          <w:b/>
          <w:color w:val="000000" w:themeColor="text1"/>
          <w:sz w:val="28"/>
          <w:szCs w:val="28"/>
          <w14:textFill>
            <w14:solidFill>
              <w14:schemeClr w14:val="tx1"/>
            </w14:solidFill>
          </w14:textFill>
        </w:rPr>
      </w:pPr>
    </w:p>
    <w:p>
      <w:pP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_________________（未中标人名称）：</w:t>
      </w:r>
    </w:p>
    <w:p>
      <w:pPr>
        <w:rPr>
          <w:rFonts w:ascii="宋体" w:hAnsi="宋体" w:cs="宋体"/>
          <w:color w:val="000000" w:themeColor="text1"/>
          <w:sz w:val="28"/>
          <w:szCs w:val="28"/>
          <w14:textFill>
            <w14:solidFill>
              <w14:schemeClr w14:val="tx1"/>
            </w14:solidFill>
          </w14:textFill>
        </w:rPr>
      </w:pPr>
    </w:p>
    <w:p>
      <w:pPr>
        <w:spacing w:line="500" w:lineRule="exact"/>
        <w:ind w:firstLine="482"/>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我方已接受（中标人名称）于（投标日期）所递交的 投标文件，确定（中标人名称）为中标人。</w:t>
      </w:r>
    </w:p>
    <w:p>
      <w:pPr>
        <w:spacing w:line="500" w:lineRule="exact"/>
        <w:ind w:firstLine="482"/>
        <w:rPr>
          <w:rFonts w:ascii="宋体" w:hAnsi="宋体" w:cs="宋体"/>
          <w:color w:val="000000" w:themeColor="text1"/>
          <w:sz w:val="28"/>
          <w:szCs w:val="28"/>
          <w14:textFill>
            <w14:solidFill>
              <w14:schemeClr w14:val="tx1"/>
            </w14:solidFill>
          </w14:textFill>
        </w:rPr>
      </w:pPr>
    </w:p>
    <w:p>
      <w:pPr>
        <w:spacing w:line="500" w:lineRule="exact"/>
        <w:ind w:firstLine="482"/>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感谢你单位对我方工作的大力支持!</w:t>
      </w:r>
    </w:p>
    <w:p>
      <w:pPr>
        <w:spacing w:line="500" w:lineRule="exact"/>
        <w:ind w:firstLine="482"/>
        <w:rPr>
          <w:rFonts w:ascii="宋体" w:hAnsi="宋体" w:cs="宋体"/>
          <w:color w:val="000000" w:themeColor="text1"/>
          <w:sz w:val="28"/>
          <w:szCs w:val="28"/>
          <w14:textFill>
            <w14:solidFill>
              <w14:schemeClr w14:val="tx1"/>
            </w14:solidFill>
          </w14:textFill>
        </w:rPr>
      </w:pPr>
    </w:p>
    <w:p>
      <w:pPr>
        <w:spacing w:line="500" w:lineRule="exact"/>
        <w:ind w:firstLine="482"/>
        <w:rPr>
          <w:rFonts w:ascii="宋体" w:hAnsi="宋体" w:cs="宋体"/>
          <w:color w:val="000000" w:themeColor="text1"/>
          <w:sz w:val="28"/>
          <w:szCs w:val="28"/>
          <w14:textFill>
            <w14:solidFill>
              <w14:schemeClr w14:val="tx1"/>
            </w14:solidFill>
          </w14:textFill>
        </w:rPr>
      </w:pPr>
    </w:p>
    <w:p>
      <w:pPr>
        <w:spacing w:line="500" w:lineRule="exact"/>
        <w:ind w:firstLine="482"/>
        <w:rPr>
          <w:rFonts w:ascii="宋体" w:hAnsi="宋体" w:cs="宋体"/>
          <w:color w:val="000000" w:themeColor="text1"/>
          <w:sz w:val="28"/>
          <w:szCs w:val="28"/>
          <w14:textFill>
            <w14:solidFill>
              <w14:schemeClr w14:val="tx1"/>
            </w14:solidFill>
          </w14:textFill>
        </w:rPr>
      </w:pPr>
    </w:p>
    <w:p>
      <w:pPr>
        <w:spacing w:line="500" w:lineRule="exact"/>
        <w:ind w:firstLine="482"/>
        <w:rPr>
          <w:rFonts w:ascii="宋体" w:hAnsi="宋体" w:cs="宋体"/>
          <w:color w:val="000000" w:themeColor="text1"/>
          <w:sz w:val="28"/>
          <w:szCs w:val="28"/>
          <w14:textFill>
            <w14:solidFill>
              <w14:schemeClr w14:val="tx1"/>
            </w14:solidFill>
          </w14:textFill>
        </w:rPr>
      </w:pPr>
    </w:p>
    <w:p>
      <w:pPr>
        <w:spacing w:line="500" w:lineRule="exact"/>
        <w:ind w:firstLine="4900" w:firstLineChars="17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招标机构：（盖单位章） </w:t>
      </w:r>
    </w:p>
    <w:p>
      <w:pPr>
        <w:spacing w:line="500" w:lineRule="exac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年       月       日  </w:t>
      </w:r>
    </w:p>
    <w:p>
      <w:pPr>
        <w:rPr>
          <w:rFonts w:ascii="宋体" w:hAnsi="宋体" w:cs="宋体"/>
          <w:color w:val="000000" w:themeColor="text1"/>
          <w:sz w:val="28"/>
          <w:szCs w:val="28"/>
          <w14:textFill>
            <w14:solidFill>
              <w14:schemeClr w14:val="tx1"/>
            </w14:solidFill>
          </w14:textFill>
        </w:rPr>
      </w:pPr>
    </w:p>
    <w:p>
      <w:pPr>
        <w:pStyle w:val="6"/>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br w:type="page"/>
      </w:r>
      <w:bookmarkStart w:id="313" w:name="_Toc1366"/>
      <w:bookmarkStart w:id="314" w:name="_Toc7539"/>
      <w:bookmarkStart w:id="315" w:name="_Toc27481"/>
      <w:bookmarkStart w:id="316" w:name="_Toc18603095"/>
      <w:bookmarkStart w:id="317" w:name="_Toc15828"/>
      <w:bookmarkStart w:id="318" w:name="_Toc522293517"/>
      <w:bookmarkStart w:id="319" w:name="_Toc20333"/>
      <w:r>
        <w:rPr>
          <w:rFonts w:hint="eastAsia" w:cs="宋体"/>
          <w:color w:val="000000" w:themeColor="text1"/>
          <w14:textFill>
            <w14:solidFill>
              <w14:schemeClr w14:val="tx1"/>
            </w14:solidFill>
          </w14:textFill>
        </w:rPr>
        <w:t>附表二：异议函</w:t>
      </w:r>
      <w:bookmarkEnd w:id="313"/>
      <w:bookmarkEnd w:id="314"/>
      <w:bookmarkEnd w:id="315"/>
      <w:bookmarkEnd w:id="316"/>
      <w:bookmarkEnd w:id="317"/>
      <w:bookmarkEnd w:id="318"/>
      <w:bookmarkEnd w:id="319"/>
    </w:p>
    <w:p>
      <w:pPr>
        <w:spacing w:line="400" w:lineRule="exact"/>
        <w:ind w:firstLine="482"/>
        <w:jc w:val="center"/>
        <w:rPr>
          <w:rFonts w:ascii="宋体" w:hAnsi="宋体" w:cs="宋体"/>
          <w:b/>
          <w:color w:val="000000" w:themeColor="text1"/>
          <w:sz w:val="24"/>
          <w:szCs w:val="24"/>
          <w14:textFill>
            <w14:solidFill>
              <w14:schemeClr w14:val="tx1"/>
            </w14:solidFill>
          </w14:textFill>
        </w:rPr>
      </w:pPr>
    </w:p>
    <w:p>
      <w:pPr>
        <w:spacing w:line="400" w:lineRule="exact"/>
        <w:ind w:firstLine="482"/>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异议函</w:t>
      </w:r>
    </w:p>
    <w:p>
      <w:pPr>
        <w:rPr>
          <w:rFonts w:ascii="宋体" w:hAnsi="宋体" w:cs="宋体"/>
          <w:color w:val="000000" w:themeColor="text1"/>
          <w:sz w:val="24"/>
          <w:szCs w:val="24"/>
          <w14:textFill>
            <w14:solidFill>
              <w14:schemeClr w14:val="tx1"/>
            </w14:solidFill>
          </w14:textFill>
        </w:rPr>
      </w:pPr>
    </w:p>
    <w:p>
      <w:pPr>
        <w:spacing w:line="500" w:lineRule="exac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(招标机构名称)：</w:t>
      </w:r>
    </w:p>
    <w:p>
      <w:pPr>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我方已研究（看到）你方发出的 招标文件（或中标候选人公示），现对下列问题提出异议，请予以解释：</w:t>
      </w:r>
    </w:p>
    <w:p>
      <w:pPr>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w:t>
      </w:r>
    </w:p>
    <w:p>
      <w:pPr>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w:t>
      </w:r>
    </w:p>
    <w:p>
      <w:pPr>
        <w:spacing w:line="500" w:lineRule="exact"/>
        <w:rPr>
          <w:rFonts w:ascii="宋体" w:hAnsi="宋体" w:cs="宋体"/>
          <w:color w:val="000000" w:themeColor="text1"/>
          <w:sz w:val="28"/>
          <w:szCs w:val="28"/>
          <w14:textFill>
            <w14:solidFill>
              <w14:schemeClr w14:val="tx1"/>
            </w14:solidFill>
          </w14:textFill>
        </w:rPr>
      </w:pPr>
    </w:p>
    <w:p>
      <w:pPr>
        <w:spacing w:line="500" w:lineRule="exact"/>
        <w:ind w:firstLine="4200" w:firstLineChars="15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投标人或利害关系人：(盖单位章)</w:t>
      </w:r>
    </w:p>
    <w:p>
      <w:pPr>
        <w:spacing w:line="500" w:lineRule="exact"/>
        <w:ind w:firstLine="4200" w:firstLineChars="15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法定代表人或其委托代理人：(签章)</w:t>
      </w:r>
    </w:p>
    <w:p>
      <w:pPr>
        <w:spacing w:line="500" w:lineRule="exact"/>
        <w:ind w:firstLine="4200" w:firstLineChars="15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年   月  日</w:t>
      </w:r>
    </w:p>
    <w:p>
      <w:pPr>
        <w:rPr>
          <w:rFonts w:ascii="宋体" w:hAnsi="宋体" w:cs="宋体"/>
          <w:color w:val="000000" w:themeColor="text1"/>
          <w:sz w:val="24"/>
          <w:szCs w:val="24"/>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备注：投标人或利害关系人对招标文件的内容或对中标候选人公示有异议，要求招标机构解释的，适用本格式。</w:t>
      </w: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pStyle w:val="6"/>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br w:type="page"/>
      </w:r>
      <w:bookmarkStart w:id="320" w:name="_Toc23629"/>
      <w:bookmarkStart w:id="321" w:name="_Toc18603096"/>
      <w:bookmarkStart w:id="322" w:name="_Toc21445"/>
      <w:bookmarkStart w:id="323" w:name="_Toc14485"/>
      <w:bookmarkStart w:id="324" w:name="_Toc522293518"/>
      <w:bookmarkStart w:id="325" w:name="_Toc11506"/>
      <w:bookmarkStart w:id="326" w:name="_Toc2971"/>
      <w:r>
        <w:rPr>
          <w:rFonts w:hint="eastAsia" w:cs="宋体"/>
          <w:color w:val="000000" w:themeColor="text1"/>
          <w14:textFill>
            <w14:solidFill>
              <w14:schemeClr w14:val="tx1"/>
            </w14:solidFill>
          </w14:textFill>
        </w:rPr>
        <w:t>附表三：异议答复函</w:t>
      </w:r>
      <w:bookmarkEnd w:id="320"/>
      <w:bookmarkEnd w:id="321"/>
      <w:bookmarkEnd w:id="322"/>
      <w:bookmarkEnd w:id="323"/>
      <w:bookmarkEnd w:id="324"/>
      <w:bookmarkEnd w:id="325"/>
      <w:bookmarkEnd w:id="326"/>
    </w:p>
    <w:p>
      <w:pPr>
        <w:spacing w:line="400" w:lineRule="exact"/>
        <w:ind w:firstLine="482"/>
        <w:jc w:val="center"/>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异议答复函</w:t>
      </w:r>
    </w:p>
    <w:p>
      <w:pPr>
        <w:spacing w:line="400" w:lineRule="exact"/>
        <w:rPr>
          <w:rFonts w:ascii="宋体" w:hAnsi="宋体" w:cs="宋体"/>
          <w:b/>
          <w:color w:val="000000" w:themeColor="text1"/>
          <w:sz w:val="28"/>
          <w:szCs w:val="28"/>
          <w14:textFill>
            <w14:solidFill>
              <w14:schemeClr w14:val="tx1"/>
            </w14:solidFill>
          </w14:textFill>
        </w:rPr>
      </w:pPr>
    </w:p>
    <w:p>
      <w:pPr>
        <w:spacing w:line="500" w:lineRule="exact"/>
        <w:ind w:firstLine="140" w:firstLineChars="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(投标人或利害关系人名称)：</w:t>
      </w:r>
    </w:p>
    <w:p>
      <w:pPr>
        <w:spacing w:line="500" w:lineRule="exac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你方提出的有关 招标文件（或中标候选人公示）的异议已收悉，现答复如下：</w:t>
      </w:r>
    </w:p>
    <w:p>
      <w:pPr>
        <w:spacing w:line="500" w:lineRule="exac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w:t>
      </w:r>
    </w:p>
    <w:p>
      <w:pPr>
        <w:spacing w:line="500" w:lineRule="exac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w:t>
      </w:r>
    </w:p>
    <w:p>
      <w:pPr>
        <w:spacing w:line="500" w:lineRule="exac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w:t>
      </w:r>
    </w:p>
    <w:p>
      <w:pPr>
        <w:spacing w:line="500" w:lineRule="exact"/>
        <w:rPr>
          <w:rFonts w:ascii="宋体" w:hAnsi="宋体" w:cs="宋体"/>
          <w:color w:val="000000" w:themeColor="text1"/>
          <w:sz w:val="28"/>
          <w:szCs w:val="28"/>
          <w14:textFill>
            <w14:solidFill>
              <w14:schemeClr w14:val="tx1"/>
            </w14:solidFill>
          </w14:textFill>
        </w:rPr>
      </w:pPr>
    </w:p>
    <w:p>
      <w:pPr>
        <w:spacing w:line="500" w:lineRule="exact"/>
        <w:rPr>
          <w:rFonts w:ascii="宋体" w:hAnsi="宋体" w:cs="宋体"/>
          <w:color w:val="000000" w:themeColor="text1"/>
          <w:sz w:val="28"/>
          <w:szCs w:val="28"/>
          <w14:textFill>
            <w14:solidFill>
              <w14:schemeClr w14:val="tx1"/>
            </w14:solidFill>
          </w14:textFill>
        </w:rPr>
      </w:pPr>
    </w:p>
    <w:p>
      <w:pPr>
        <w:spacing w:line="500" w:lineRule="exact"/>
        <w:rPr>
          <w:rFonts w:ascii="宋体" w:hAnsi="宋体" w:cs="宋体"/>
          <w:color w:val="000000" w:themeColor="text1"/>
          <w:sz w:val="28"/>
          <w:szCs w:val="28"/>
          <w14:textFill>
            <w14:solidFill>
              <w14:schemeClr w14:val="tx1"/>
            </w14:solidFill>
          </w14:textFill>
        </w:rPr>
      </w:pPr>
    </w:p>
    <w:p>
      <w:pPr>
        <w:spacing w:line="500" w:lineRule="exac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招标机构：  （盖单位章）</w:t>
      </w:r>
    </w:p>
    <w:p>
      <w:pPr>
        <w:spacing w:line="500" w:lineRule="exact"/>
        <w:rPr>
          <w:rFonts w:ascii="宋体" w:hAnsi="宋体" w:cs="宋体"/>
          <w:color w:val="000000" w:themeColor="text1"/>
          <w:sz w:val="28"/>
          <w:szCs w:val="28"/>
          <w14:textFill>
            <w14:solidFill>
              <w14:schemeClr w14:val="tx1"/>
            </w14:solidFill>
          </w14:textFill>
        </w:rPr>
      </w:pPr>
    </w:p>
    <w:p>
      <w:pPr>
        <w:spacing w:line="500" w:lineRule="exact"/>
        <w:ind w:firstLine="5040" w:firstLineChars="18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年  月 日</w:t>
      </w:r>
    </w:p>
    <w:p>
      <w:pPr>
        <w:rPr>
          <w:color w:val="000000" w:themeColor="text1"/>
          <w14:textFill>
            <w14:solidFill>
              <w14:schemeClr w14:val="tx1"/>
            </w14:solidFill>
          </w14:textFill>
        </w:rPr>
      </w:pPr>
      <w:bookmarkStart w:id="327" w:name="_Toc31653"/>
      <w:bookmarkStart w:id="328" w:name="_Toc522293519"/>
      <w:bookmarkStart w:id="329" w:name="_Toc11142"/>
      <w:bookmarkStart w:id="330" w:name="_Toc1715"/>
      <w:bookmarkStart w:id="331" w:name="_Toc29666"/>
      <w:bookmarkStart w:id="332" w:name="_Toc17726"/>
      <w:r>
        <w:rPr>
          <w:rFonts w:hint="eastAsia"/>
          <w:color w:val="000000" w:themeColor="text1"/>
          <w14:textFill>
            <w14:solidFill>
              <w14:schemeClr w14:val="tx1"/>
            </w14:solidFill>
          </w14:textFill>
        </w:rPr>
        <w:br w:type="page"/>
      </w:r>
    </w:p>
    <w:p>
      <w:pPr>
        <w:pStyle w:val="5"/>
        <w:rPr>
          <w:color w:val="000000" w:themeColor="text1"/>
          <w14:textFill>
            <w14:solidFill>
              <w14:schemeClr w14:val="tx1"/>
            </w14:solidFill>
          </w14:textFill>
        </w:rPr>
      </w:pPr>
      <w:r>
        <w:rPr>
          <w:rFonts w:hint="eastAsia"/>
          <w:color w:val="000000" w:themeColor="text1"/>
          <w14:textFill>
            <w14:solidFill>
              <w14:schemeClr w14:val="tx1"/>
            </w14:solidFill>
          </w14:textFill>
        </w:rPr>
        <w:t>第三章  评标办法（</w:t>
      </w:r>
      <w:bookmarkEnd w:id="327"/>
      <w:bookmarkEnd w:id="328"/>
      <w:r>
        <w:rPr>
          <w:rFonts w:hint="eastAsia"/>
          <w:color w:val="000000" w:themeColor="text1"/>
          <w14:textFill>
            <w14:solidFill>
              <w14:schemeClr w14:val="tx1"/>
            </w14:solidFill>
          </w14:textFill>
        </w:rPr>
        <w:t>综合评估法）</w:t>
      </w:r>
      <w:bookmarkEnd w:id="329"/>
      <w:bookmarkEnd w:id="330"/>
      <w:bookmarkEnd w:id="331"/>
      <w:bookmarkEnd w:id="332"/>
    </w:p>
    <w:p>
      <w:pPr>
        <w:pStyle w:val="6"/>
        <w:rPr>
          <w:rFonts w:cs="宋体"/>
          <w:color w:val="000000" w:themeColor="text1"/>
          <w14:textFill>
            <w14:solidFill>
              <w14:schemeClr w14:val="tx1"/>
            </w14:solidFill>
          </w14:textFill>
        </w:rPr>
      </w:pPr>
      <w:bookmarkStart w:id="333" w:name="_Toc522293520"/>
      <w:bookmarkStart w:id="334" w:name="_Toc29272"/>
      <w:bookmarkStart w:id="335" w:name="_Toc4112"/>
      <w:bookmarkStart w:id="336" w:name="_Toc588"/>
      <w:bookmarkStart w:id="337" w:name="_Toc15033"/>
      <w:bookmarkStart w:id="338" w:name="_Toc7486"/>
      <w:r>
        <w:rPr>
          <w:rFonts w:hint="eastAsia" w:cs="宋体"/>
          <w:color w:val="000000" w:themeColor="text1"/>
          <w14:textFill>
            <w14:solidFill>
              <w14:schemeClr w14:val="tx1"/>
            </w14:solidFill>
          </w14:textFill>
        </w:rPr>
        <w:t>评标办法前附表</w:t>
      </w:r>
      <w:bookmarkEnd w:id="333"/>
      <w:bookmarkEnd w:id="334"/>
      <w:bookmarkEnd w:id="335"/>
      <w:bookmarkEnd w:id="336"/>
      <w:bookmarkEnd w:id="337"/>
      <w:bookmarkEnd w:id="338"/>
    </w:p>
    <w:tbl>
      <w:tblPr>
        <w:tblStyle w:val="44"/>
        <w:tblW w:w="9789"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541"/>
        <w:gridCol w:w="175"/>
        <w:gridCol w:w="713"/>
        <w:gridCol w:w="989"/>
        <w:gridCol w:w="1134"/>
        <w:gridCol w:w="623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1429" w:type="dxa"/>
            <w:gridSpan w:val="3"/>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bookmarkStart w:id="339" w:name="_Toc641"/>
            <w:bookmarkStart w:id="340" w:name="_Toc523213619"/>
            <w:bookmarkStart w:id="341" w:name="_Toc26154"/>
            <w:bookmarkStart w:id="342" w:name="_Toc24434"/>
            <w:bookmarkStart w:id="343" w:name="_Toc1331"/>
            <w:bookmarkStart w:id="344" w:name="_Toc22580"/>
            <w:r>
              <w:rPr>
                <w:rFonts w:hint="eastAsia" w:ascii="宋体" w:hAnsi="宋体" w:eastAsia="宋体" w:cs="宋体"/>
                <w:color w:val="000000" w:themeColor="text1"/>
                <w:sz w:val="24"/>
                <w:szCs w:val="24"/>
                <w:highlight w:val="none"/>
                <w14:textFill>
                  <w14:solidFill>
                    <w14:schemeClr w14:val="tx1"/>
                  </w14:solidFill>
                </w14:textFill>
              </w:rPr>
              <w:t>条款号</w:t>
            </w:r>
          </w:p>
        </w:tc>
        <w:tc>
          <w:tcPr>
            <w:tcW w:w="2123" w:type="dxa"/>
            <w:gridSpan w:val="2"/>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评审因素</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restart"/>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w:t>
            </w:r>
          </w:p>
        </w:tc>
        <w:tc>
          <w:tcPr>
            <w:tcW w:w="713" w:type="dxa"/>
            <w:vMerge w:val="restart"/>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形式评审标准</w:t>
            </w:r>
          </w:p>
        </w:tc>
        <w:tc>
          <w:tcPr>
            <w:tcW w:w="2123" w:type="dxa"/>
            <w:gridSpan w:val="2"/>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投标人名称</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与营业执照一致。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投标文件的签署</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符合第六章“投标文件格式”中要求签字或盖章的地方，投标人均应签字或盖章。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报价唯一</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每项只能有一个报价。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top w:val="outset" w:color="auto" w:sz="6" w:space="0"/>
              <w:left w:val="outset" w:color="auto" w:sz="6" w:space="0"/>
              <w:bottom w:val="single" w:color="auto" w:sz="4"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top w:val="outset" w:color="auto" w:sz="6" w:space="0"/>
              <w:left w:val="outset" w:color="auto" w:sz="6" w:space="0"/>
              <w:bottom w:val="single" w:color="auto" w:sz="4"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outset" w:color="auto" w:sz="6" w:space="0"/>
              <w:left w:val="outset" w:color="auto" w:sz="6" w:space="0"/>
              <w:bottom w:val="single" w:color="auto" w:sz="4" w:space="0"/>
              <w:right w:val="outset" w:color="auto" w:sz="6" w:space="0"/>
            </w:tcBorders>
            <w:vAlign w:val="center"/>
          </w:tcPr>
          <w:p>
            <w:pPr>
              <w:spacing w:line="360" w:lineRule="exact"/>
              <w:ind w:firstLine="240" w:firstLineChars="1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参加开标会人员</w:t>
            </w:r>
          </w:p>
        </w:tc>
        <w:tc>
          <w:tcPr>
            <w:tcW w:w="6237" w:type="dxa"/>
            <w:tcBorders>
              <w:top w:val="outset" w:color="auto" w:sz="6" w:space="0"/>
              <w:left w:val="outset" w:color="auto" w:sz="6" w:space="0"/>
              <w:bottom w:val="outset" w:color="auto" w:sz="6" w:space="0"/>
              <w:right w:val="outset" w:color="auto" w:sz="6" w:space="0"/>
            </w:tcBorders>
            <w:vAlign w:val="center"/>
          </w:tcPr>
          <w:p>
            <w:pPr>
              <w:pStyle w:val="21"/>
              <w:spacing w:line="360" w:lineRule="exact"/>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投标人的法定代表人或委托代理人应携带身份证明文件原件（</w:t>
            </w:r>
            <w:r>
              <w:rPr>
                <w:rFonts w:hint="eastAsia" w:ascii="宋体" w:hAnsi="宋体" w:eastAsia="宋体" w:cs="宋体"/>
                <w:b/>
                <w:color w:val="000000" w:themeColor="text1"/>
                <w:sz w:val="24"/>
                <w:highlight w:val="none"/>
                <w14:textFill>
                  <w14:solidFill>
                    <w14:schemeClr w14:val="tx1"/>
                  </w14:solidFill>
                </w14:textFill>
              </w:rPr>
              <w:t>法定代表人身份证明或法人授权委托书原件</w:t>
            </w:r>
            <w:r>
              <w:rPr>
                <w:rFonts w:hint="eastAsia" w:ascii="宋体" w:hAnsi="宋体" w:eastAsia="宋体" w:cs="宋体"/>
                <w:color w:val="000000" w:themeColor="text1"/>
                <w:sz w:val="24"/>
                <w:highlight w:val="none"/>
                <w14:textFill>
                  <w14:solidFill>
                    <w14:schemeClr w14:val="tx1"/>
                  </w14:solidFill>
                </w14:textFill>
              </w:rPr>
              <w:t>）和</w:t>
            </w:r>
            <w:r>
              <w:rPr>
                <w:rFonts w:hint="eastAsia" w:ascii="宋体" w:hAnsi="宋体" w:eastAsia="宋体" w:cs="宋体"/>
                <w:b/>
                <w:color w:val="000000" w:themeColor="text1"/>
                <w:sz w:val="24"/>
                <w:highlight w:val="none"/>
                <w14:textFill>
                  <w14:solidFill>
                    <w14:schemeClr w14:val="tx1"/>
                  </w14:solidFill>
                </w14:textFill>
              </w:rPr>
              <w:t>第二代有效身份证原件</w:t>
            </w:r>
            <w:r>
              <w:rPr>
                <w:rFonts w:hint="eastAsia" w:ascii="宋体" w:hAnsi="宋体" w:eastAsia="宋体" w:cs="宋体"/>
                <w:color w:val="000000" w:themeColor="text1"/>
                <w:sz w:val="24"/>
                <w:highlight w:val="none"/>
                <w14:textFill>
                  <w14:solidFill>
                    <w14:schemeClr w14:val="tx1"/>
                  </w14:solidFill>
                </w14:textFill>
              </w:rPr>
              <w:t>准时参加开标会。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w:t>
            </w:r>
          </w:p>
        </w:tc>
        <w:tc>
          <w:tcPr>
            <w:tcW w:w="713"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资格评审标准</w:t>
            </w: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营业执照</w:t>
            </w:r>
          </w:p>
        </w:tc>
        <w:tc>
          <w:tcPr>
            <w:tcW w:w="6237" w:type="dxa"/>
            <w:tcBorders>
              <w:top w:val="outset" w:color="auto" w:sz="6" w:space="0"/>
              <w:left w:val="single" w:color="auto" w:sz="4"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具备有效的法人营业执照，</w:t>
            </w:r>
            <w:r>
              <w:rPr>
                <w:rFonts w:hint="eastAsia" w:ascii="宋体" w:hAnsi="宋体" w:cs="宋体"/>
                <w:bCs/>
                <w:color w:val="000000" w:themeColor="text1"/>
                <w:sz w:val="24"/>
                <w:szCs w:val="24"/>
                <w:highlight w:val="none"/>
                <w:lang w:eastAsia="zh-CN"/>
                <w14:textFill>
                  <w14:solidFill>
                    <w14:schemeClr w14:val="tx1"/>
                  </w14:solidFill>
                </w14:textFill>
              </w:rPr>
              <w:t>且</w:t>
            </w:r>
            <w:r>
              <w:rPr>
                <w:rFonts w:hint="eastAsia" w:ascii="宋体" w:hAnsi="宋体" w:eastAsia="宋体" w:cs="宋体"/>
                <w:bCs/>
                <w:color w:val="000000" w:themeColor="text1"/>
                <w:sz w:val="24"/>
                <w:szCs w:val="24"/>
                <w:highlight w:val="none"/>
                <w14:textFill>
                  <w14:solidFill>
                    <w14:schemeClr w14:val="tx1"/>
                  </w14:solidFill>
                </w14:textFill>
              </w:rPr>
              <w:t>不得以分公司名义进行投标，投标文件的单位盖章必须使用其法人公章，分公司盖章无效；（提供营业执照复印件加盖单位公章）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保安服务许可证</w:t>
            </w:r>
          </w:p>
        </w:tc>
        <w:tc>
          <w:tcPr>
            <w:tcW w:w="6237" w:type="dxa"/>
            <w:tcBorders>
              <w:top w:val="outset" w:color="auto" w:sz="6" w:space="0"/>
              <w:left w:val="single" w:color="auto" w:sz="4" w:space="0"/>
              <w:bottom w:val="outset" w:color="auto" w:sz="6" w:space="0"/>
              <w:right w:val="outset" w:color="auto" w:sz="6" w:space="0"/>
            </w:tcBorders>
            <w:vAlign w:val="center"/>
          </w:tcPr>
          <w:p>
            <w:pPr>
              <w:spacing w:line="360" w:lineRule="exact"/>
              <w:jc w:val="left"/>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投标人必须取得公安部门核发的保安服务许可证。（提供保安服务许可证复印件加盖单位公章）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信用信息</w:t>
            </w:r>
          </w:p>
        </w:tc>
        <w:tc>
          <w:tcPr>
            <w:tcW w:w="6237" w:type="dxa"/>
            <w:tcBorders>
              <w:top w:val="outset" w:color="auto" w:sz="6" w:space="0"/>
              <w:left w:val="single" w:color="auto" w:sz="4"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求对所有投标人的信用信息进行查询，做好记录，由评标委员会按招标文件的规定进行评审。）</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单位负责人</w:t>
            </w:r>
          </w:p>
        </w:tc>
        <w:tc>
          <w:tcPr>
            <w:tcW w:w="6237" w:type="dxa"/>
            <w:tcBorders>
              <w:top w:val="outset" w:color="auto" w:sz="6" w:space="0"/>
              <w:left w:val="single" w:color="auto" w:sz="4"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单位负责人为同一人或者存在控股、管理关系的不同单位，不得参加同一项目投标。与招标人存在利害关系可能影响招标公正性的法人、其他组织或者个人，不得参加投标；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联合体</w:t>
            </w:r>
          </w:p>
        </w:tc>
        <w:tc>
          <w:tcPr>
            <w:tcW w:w="6237" w:type="dxa"/>
            <w:tcBorders>
              <w:top w:val="outset" w:color="auto" w:sz="6" w:space="0"/>
              <w:left w:val="single" w:color="auto" w:sz="4"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本项目不接受联合体投标，投标人必须以独立投标人身份参与投标。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restart"/>
            <w:tcBorders>
              <w:top w:val="single" w:color="auto" w:sz="4" w:space="0"/>
              <w:left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2.1.3</w:t>
            </w:r>
          </w:p>
        </w:tc>
        <w:tc>
          <w:tcPr>
            <w:tcW w:w="713" w:type="dxa"/>
            <w:vMerge w:val="restart"/>
            <w:tcBorders>
              <w:top w:val="single" w:color="auto" w:sz="4" w:space="0"/>
              <w:left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响应性评审标准</w:t>
            </w:r>
          </w:p>
        </w:tc>
        <w:tc>
          <w:tcPr>
            <w:tcW w:w="2123" w:type="dxa"/>
            <w:gridSpan w:val="2"/>
            <w:tcBorders>
              <w:top w:val="single" w:color="auto" w:sz="4"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投标内容</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符合第二章“投标人须知”第1.3项规定（服务范围、服务地点、服务期）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left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left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投标有效期</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自投标截止时间起90天内有效。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left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left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权利义务</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投标文件中没有招标人不能接受的条件，或者对合同中约定的招标人的权利和投标人的义务方面造成重大限制的内容。</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left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left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投标价格</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投标人的报价未按照招标文件要求进行报价或超过招标文件规定的招标控制价。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6" w:type="dxa"/>
            <w:gridSpan w:val="2"/>
            <w:vMerge w:val="continue"/>
            <w:tcBorders>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713" w:type="dxa"/>
            <w:vMerge w:val="continue"/>
            <w:tcBorders>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p>
        </w:tc>
        <w:tc>
          <w:tcPr>
            <w:tcW w:w="2123" w:type="dxa"/>
            <w:gridSpan w:val="2"/>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违法投标行为</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评标过程中，评标委员会未发现投标人串通投标，以他人名义投标或以其他弄虚作假方式投标。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1429" w:type="dxa"/>
            <w:gridSpan w:val="3"/>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w:t>
            </w:r>
          </w:p>
        </w:tc>
        <w:tc>
          <w:tcPr>
            <w:tcW w:w="2123" w:type="dxa"/>
            <w:gridSpan w:val="2"/>
            <w:tcBorders>
              <w:top w:val="outset" w:color="auto" w:sz="6" w:space="0"/>
              <w:left w:val="outset" w:color="auto" w:sz="6" w:space="0"/>
              <w:bottom w:val="outset" w:color="auto" w:sz="6"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分值构成</w:t>
            </w:r>
          </w:p>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（总分100分）</w:t>
            </w:r>
          </w:p>
        </w:tc>
        <w:tc>
          <w:tcPr>
            <w:tcW w:w="6237" w:type="dxa"/>
            <w:tcBorders>
              <w:top w:val="outset" w:color="auto" w:sz="6" w:space="0"/>
              <w:left w:val="single" w:color="auto" w:sz="4"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商务评审：30分</w:t>
            </w:r>
          </w:p>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技术评审：</w:t>
            </w:r>
            <w:r>
              <w:rPr>
                <w:rFonts w:hint="eastAsia" w:ascii="宋体" w:hAnsi="宋体" w:cs="宋体"/>
                <w:color w:val="000000" w:themeColor="text1"/>
                <w:sz w:val="24"/>
                <w:szCs w:val="24"/>
                <w:highlight w:val="none"/>
                <w:lang w:val="en-US" w:eastAsia="zh-CN"/>
                <w14:textFill>
                  <w14:solidFill>
                    <w14:schemeClr w14:val="tx1"/>
                  </w14:solidFill>
                </w14:textFill>
              </w:rPr>
              <w:t>40</w:t>
            </w:r>
            <w:r>
              <w:rPr>
                <w:rFonts w:hint="eastAsia" w:ascii="宋体" w:hAnsi="宋体" w:eastAsia="宋体" w:cs="宋体"/>
                <w:color w:val="000000" w:themeColor="text1"/>
                <w:sz w:val="24"/>
                <w:szCs w:val="24"/>
                <w:highlight w:val="none"/>
                <w14:textFill>
                  <w14:solidFill>
                    <w14:schemeClr w14:val="tx1"/>
                  </w14:solidFill>
                </w14:textFill>
              </w:rPr>
              <w:t>分</w:t>
            </w:r>
          </w:p>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经济评审：</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0分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1429" w:type="dxa"/>
            <w:gridSpan w:val="3"/>
            <w:tcBorders>
              <w:top w:val="outset" w:color="auto" w:sz="6" w:space="0"/>
              <w:left w:val="outset" w:color="auto" w:sz="6" w:space="0"/>
              <w:bottom w:val="single" w:color="auto" w:sz="4"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条款号</w:t>
            </w:r>
          </w:p>
        </w:tc>
        <w:tc>
          <w:tcPr>
            <w:tcW w:w="2123" w:type="dxa"/>
            <w:gridSpan w:val="2"/>
            <w:tcBorders>
              <w:top w:val="outset" w:color="auto" w:sz="6" w:space="0"/>
              <w:left w:val="outset" w:color="auto" w:sz="6" w:space="0"/>
              <w:bottom w:val="single" w:color="auto" w:sz="4"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评审因素</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restart"/>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2.2.2</w:t>
            </w:r>
          </w:p>
        </w:tc>
        <w:tc>
          <w:tcPr>
            <w:tcW w:w="888" w:type="dxa"/>
            <w:gridSpan w:val="2"/>
            <w:vMerge w:val="restart"/>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综合标评分因素评分标准（100分）</w:t>
            </w:r>
          </w:p>
        </w:tc>
        <w:tc>
          <w:tcPr>
            <w:tcW w:w="989" w:type="dxa"/>
            <w:vMerge w:val="restart"/>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商务评审（30分）</w:t>
            </w:r>
          </w:p>
        </w:tc>
        <w:tc>
          <w:tcPr>
            <w:tcW w:w="113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标书制作（3分）</w:t>
            </w:r>
          </w:p>
        </w:tc>
        <w:tc>
          <w:tcPr>
            <w:tcW w:w="6237" w:type="dxa"/>
            <w:tcBorders>
              <w:top w:val="outset" w:color="auto" w:sz="6" w:space="0"/>
              <w:left w:val="single" w:color="auto" w:sz="4" w:space="0"/>
              <w:bottom w:val="outset" w:color="auto" w:sz="6" w:space="0"/>
              <w:right w:val="outset" w:color="auto" w:sz="6" w:space="0"/>
            </w:tcBorders>
            <w:vAlign w:val="center"/>
          </w:tcPr>
          <w:p>
            <w:pPr>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文件逐页有连续页码，并有详细目录，目录与有关材料装订顺序一一对应，相关资料完整、清晰，查阅方便，得3分；投标文件逐页有连续页码，有基本完整的目录，目录与有关材料装订顺序基本对应，相关资料无缺失，得2分；投标文件逐页有连续页码，目录粗略，且与有关材料装订顺序混乱，相关资料一般清晰，得1分；页码不连贯，目录有缺失，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continue"/>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888" w:type="dxa"/>
            <w:gridSpan w:val="2"/>
            <w:vMerge w:val="continue"/>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989" w:type="dxa"/>
            <w:vMerge w:val="continue"/>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类似业绩</w:t>
            </w:r>
          </w:p>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15</w:t>
            </w:r>
            <w:r>
              <w:rPr>
                <w:rFonts w:hint="eastAsia" w:ascii="宋体" w:hAnsi="宋体" w:eastAsia="宋体" w:cs="宋体"/>
                <w:color w:val="000000" w:themeColor="text1"/>
                <w:sz w:val="24"/>
                <w:szCs w:val="24"/>
                <w:highlight w:val="none"/>
                <w14:textFill>
                  <w14:solidFill>
                    <w14:schemeClr w14:val="tx1"/>
                  </w14:solidFill>
                </w14:textFill>
              </w:rPr>
              <w:t>分）</w:t>
            </w:r>
          </w:p>
        </w:tc>
        <w:tc>
          <w:tcPr>
            <w:tcW w:w="6237" w:type="dxa"/>
            <w:tcBorders>
              <w:top w:val="outset" w:color="auto" w:sz="6" w:space="0"/>
              <w:left w:val="single" w:color="auto" w:sz="4" w:space="0"/>
              <w:bottom w:val="outset" w:color="auto" w:sz="6" w:space="0"/>
              <w:right w:val="outset" w:color="auto" w:sz="6" w:space="0"/>
            </w:tcBorders>
            <w:vAlign w:val="center"/>
          </w:tcPr>
          <w:p>
            <w:pPr>
              <w:numPr>
                <w:ilvl w:val="0"/>
                <w:numId w:val="0"/>
              </w:num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投标人近3年以来（自2018年1月1日以来）承担过</w:t>
            </w:r>
            <w:r>
              <w:rPr>
                <w:rFonts w:hint="eastAsia" w:ascii="宋体" w:hAnsi="宋体" w:cs="宋体"/>
                <w:color w:val="000000" w:themeColor="text1"/>
                <w:sz w:val="24"/>
                <w:szCs w:val="24"/>
                <w:highlight w:val="none"/>
                <w:lang w:eastAsia="zh-CN"/>
                <w14:textFill>
                  <w14:solidFill>
                    <w14:schemeClr w14:val="tx1"/>
                  </w14:solidFill>
                </w14:textFill>
              </w:rPr>
              <w:t>类似</w:t>
            </w:r>
            <w:r>
              <w:rPr>
                <w:rFonts w:hint="eastAsia" w:ascii="宋体" w:hAnsi="宋体" w:eastAsia="宋体" w:cs="宋体"/>
                <w:color w:val="000000" w:themeColor="text1"/>
                <w:sz w:val="24"/>
                <w:szCs w:val="24"/>
                <w:highlight w:val="none"/>
                <w14:textFill>
                  <w14:solidFill>
                    <w14:schemeClr w14:val="tx1"/>
                  </w14:solidFill>
                </w14:textFill>
              </w:rPr>
              <w:t>项目业绩的，每提供一份得5分，最高得15分；（提供合同复印件加盖公章，同一业主的多份年度合同只能算1份业绩）</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continue"/>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888" w:type="dxa"/>
            <w:gridSpan w:val="2"/>
            <w:vMerge w:val="continue"/>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989" w:type="dxa"/>
            <w:vMerge w:val="continue"/>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企业荣誉（</w:t>
            </w:r>
            <w:r>
              <w:rPr>
                <w:rFonts w:hint="eastAsia" w:ascii="宋体" w:hAnsi="宋体" w:cs="宋体"/>
                <w:color w:val="000000" w:themeColor="text1"/>
                <w:sz w:val="24"/>
                <w:szCs w:val="24"/>
                <w:highlight w:val="none"/>
                <w:lang w:val="en-US" w:eastAsia="zh-CN"/>
                <w14:textFill>
                  <w14:solidFill>
                    <w14:schemeClr w14:val="tx1"/>
                  </w14:solidFill>
                </w14:textFill>
              </w:rPr>
              <w:t>9分</w:t>
            </w:r>
            <w:r>
              <w:rPr>
                <w:rFonts w:hint="eastAsia" w:ascii="宋体" w:hAnsi="宋体" w:cs="宋体"/>
                <w:color w:val="000000" w:themeColor="text1"/>
                <w:sz w:val="24"/>
                <w:szCs w:val="24"/>
                <w:highlight w:val="none"/>
                <w:lang w:eastAsia="zh-CN"/>
                <w14:textFill>
                  <w14:solidFill>
                    <w14:schemeClr w14:val="tx1"/>
                  </w14:solidFill>
                </w14:textFill>
              </w:rPr>
              <w:t>）</w:t>
            </w:r>
          </w:p>
        </w:tc>
        <w:tc>
          <w:tcPr>
            <w:tcW w:w="6237" w:type="dxa"/>
            <w:tcBorders>
              <w:top w:val="outset" w:color="auto" w:sz="6" w:space="0"/>
              <w:left w:val="single" w:color="auto" w:sz="4"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投标人</w:t>
            </w:r>
            <w:r>
              <w:rPr>
                <w:rFonts w:hint="eastAsia" w:ascii="宋体" w:hAnsi="宋体" w:eastAsia="宋体" w:cs="宋体"/>
                <w:color w:val="000000" w:themeColor="text1"/>
                <w:sz w:val="24"/>
                <w:szCs w:val="24"/>
                <w:highlight w:val="none"/>
                <w14:textFill>
                  <w14:solidFill>
                    <w14:schemeClr w14:val="tx1"/>
                  </w14:solidFill>
                </w14:textFill>
              </w:rPr>
              <w:t>近</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年获得</w:t>
            </w:r>
            <w:r>
              <w:rPr>
                <w:rFonts w:hint="eastAsia" w:ascii="宋体" w:hAnsi="宋体" w:cs="宋体"/>
                <w:color w:val="000000" w:themeColor="text1"/>
                <w:sz w:val="24"/>
                <w:szCs w:val="24"/>
                <w:highlight w:val="none"/>
                <w:lang w:eastAsia="zh-CN"/>
                <w14:textFill>
                  <w14:solidFill>
                    <w14:schemeClr w14:val="tx1"/>
                  </w14:solidFill>
                </w14:textFill>
              </w:rPr>
              <w:t>过</w:t>
            </w:r>
            <w:r>
              <w:rPr>
                <w:rFonts w:hint="eastAsia" w:ascii="宋体" w:hAnsi="宋体" w:eastAsia="宋体" w:cs="宋体"/>
                <w:color w:val="000000" w:themeColor="text1"/>
                <w:sz w:val="24"/>
                <w:szCs w:val="24"/>
                <w:highlight w:val="none"/>
                <w14:textFill>
                  <w14:solidFill>
                    <w14:schemeClr w14:val="tx1"/>
                  </w14:solidFill>
                </w14:textFill>
              </w:rPr>
              <w:t>市级及以上行政主管部门颁发的荣誉或行业颁发</w:t>
            </w:r>
            <w:r>
              <w:rPr>
                <w:rFonts w:hint="eastAsia" w:ascii="宋体" w:hAnsi="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14:textFill>
                  <w14:solidFill>
                    <w14:schemeClr w14:val="tx1"/>
                  </w14:solidFill>
                </w14:textFill>
              </w:rPr>
              <w:t>荣誉，每提供一个得</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分，最多</w:t>
            </w:r>
            <w:r>
              <w:rPr>
                <w:rFonts w:hint="eastAsia" w:ascii="宋体" w:hAnsi="宋体" w:cs="宋体"/>
                <w:color w:val="000000" w:themeColor="text1"/>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14:textFill>
                  <w14:solidFill>
                    <w14:schemeClr w14:val="tx1"/>
                  </w14:solidFill>
                </w14:textFill>
              </w:rPr>
              <w:t>分；（提供相关证明材料</w:t>
            </w:r>
            <w:r>
              <w:rPr>
                <w:rFonts w:hint="eastAsia" w:ascii="宋体" w:hAnsi="宋体" w:cs="宋体"/>
                <w:color w:val="000000" w:themeColor="text1"/>
                <w:sz w:val="24"/>
                <w:szCs w:val="24"/>
                <w:highlight w:val="none"/>
                <w:lang w:eastAsia="zh-CN"/>
                <w14:textFill>
                  <w14:solidFill>
                    <w14:schemeClr w14:val="tx1"/>
                  </w14:solidFill>
                </w14:textFill>
              </w:rPr>
              <w:t>复印件加盖公章</w:t>
            </w:r>
            <w:r>
              <w:rPr>
                <w:rFonts w:hint="eastAsia" w:ascii="宋体" w:hAnsi="宋体" w:eastAsia="宋体" w:cs="宋体"/>
                <w:color w:val="000000" w:themeColor="text1"/>
                <w:sz w:val="24"/>
                <w:szCs w:val="24"/>
                <w:highlight w:val="none"/>
                <w14:textFill>
                  <w14:solidFill>
                    <w14:schemeClr w14:val="tx1"/>
                  </w14:solidFill>
                </w14:textFill>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888" w:type="dxa"/>
            <w:gridSpan w:val="2"/>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989" w:type="dxa"/>
            <w:vMerge w:val="continue"/>
            <w:tcBorders>
              <w:left w:val="single" w:color="auto" w:sz="4" w:space="0"/>
              <w:bottom w:val="outset" w:color="auto" w:sz="6" w:space="0"/>
              <w:right w:val="single" w:color="auto" w:sz="4" w:space="0"/>
            </w:tcBorders>
            <w:vAlign w:val="center"/>
          </w:tcPr>
          <w:p>
            <w:pPr>
              <w:widowControl/>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1134" w:type="dxa"/>
            <w:tcBorders>
              <w:top w:val="outset" w:color="auto" w:sz="6" w:space="0"/>
              <w:left w:val="single" w:color="auto" w:sz="4"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体系认证</w:t>
            </w:r>
          </w:p>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w:t>
            </w:r>
          </w:p>
        </w:tc>
        <w:tc>
          <w:tcPr>
            <w:tcW w:w="6237" w:type="dxa"/>
            <w:tcBorders>
              <w:top w:val="outset" w:color="auto" w:sz="6" w:space="0"/>
              <w:left w:val="outset" w:color="auto" w:sz="6" w:space="0"/>
              <w:bottom w:val="outset" w:color="auto" w:sz="6" w:space="0"/>
              <w:right w:val="outset" w:color="auto" w:sz="6" w:space="0"/>
            </w:tcBorders>
          </w:tcPr>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投标人取得质量管理体系、职业健康安全管理体系、环境管理体系认证证书的,每提供一个得1分，最多得3分，没有提供不得分。（提供证书复印件加盖公章）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888" w:type="dxa"/>
            <w:gridSpan w:val="2"/>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989" w:type="dxa"/>
            <w:vMerge w:val="restart"/>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技术评审</w:t>
            </w:r>
          </w:p>
          <w:p>
            <w:pPr>
              <w:widowControl/>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40</w:t>
            </w:r>
            <w:r>
              <w:rPr>
                <w:rFonts w:hint="eastAsia" w:ascii="宋体" w:hAnsi="宋体" w:eastAsia="宋体" w:cs="宋体"/>
                <w:color w:val="000000" w:themeColor="text1"/>
                <w:sz w:val="24"/>
                <w:szCs w:val="24"/>
                <w:highlight w:val="none"/>
                <w14:textFill>
                  <w14:solidFill>
                    <w14:schemeClr w14:val="tx1"/>
                  </w14:solidFill>
                </w14:textFill>
              </w:rPr>
              <w:t>分）</w:t>
            </w:r>
          </w:p>
        </w:tc>
        <w:tc>
          <w:tcPr>
            <w:tcW w:w="1134" w:type="dxa"/>
            <w:tcBorders>
              <w:top w:val="outset" w:color="auto" w:sz="6" w:space="0"/>
              <w:left w:val="single" w:color="auto" w:sz="4" w:space="0"/>
              <w:bottom w:val="outset" w:color="auto" w:sz="6" w:space="0"/>
              <w:right w:val="outset" w:color="auto" w:sz="6" w:space="0"/>
            </w:tcBorders>
            <w:vAlign w:val="center"/>
          </w:tcPr>
          <w:p>
            <w:pPr>
              <w:widowControl/>
              <w:spacing w:line="360" w:lineRule="exac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服务</w:t>
            </w:r>
            <w:r>
              <w:rPr>
                <w:rFonts w:hint="eastAsia" w:ascii="宋体" w:hAnsi="宋体" w:cs="宋体"/>
                <w:color w:val="000000" w:themeColor="text1"/>
                <w:kern w:val="0"/>
                <w:sz w:val="24"/>
                <w:szCs w:val="24"/>
                <w:highlight w:val="none"/>
                <w:lang w:eastAsia="zh-CN"/>
                <w14:textFill>
                  <w14:solidFill>
                    <w14:schemeClr w14:val="tx1"/>
                  </w14:solidFill>
                </w14:textFill>
              </w:rPr>
              <w:t>实施</w:t>
            </w:r>
            <w:r>
              <w:rPr>
                <w:rFonts w:hint="eastAsia" w:ascii="宋体" w:hAnsi="宋体" w:eastAsia="宋体" w:cs="宋体"/>
                <w:color w:val="000000" w:themeColor="text1"/>
                <w:kern w:val="0"/>
                <w:sz w:val="24"/>
                <w:szCs w:val="24"/>
                <w:highlight w:val="none"/>
                <w14:textFill>
                  <w14:solidFill>
                    <w14:schemeClr w14:val="tx1"/>
                  </w14:solidFill>
                </w14:textFill>
              </w:rPr>
              <w:t>方案</w:t>
            </w:r>
          </w:p>
          <w:p>
            <w:pPr>
              <w:widowControl/>
              <w:spacing w:line="360" w:lineRule="exac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w:t>
            </w:r>
            <w:r>
              <w:rPr>
                <w:rFonts w:hint="eastAsia" w:ascii="宋体" w:hAnsi="宋体" w:cs="宋体"/>
                <w:color w:val="000000" w:themeColor="text1"/>
                <w:kern w:val="0"/>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0"/>
                <w:sz w:val="24"/>
                <w:szCs w:val="24"/>
                <w:highlight w:val="none"/>
                <w14:textFill>
                  <w14:solidFill>
                    <w14:schemeClr w14:val="tx1"/>
                  </w14:solidFill>
                </w14:textFill>
              </w:rPr>
              <w:t>分）</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1、服务方法和计划先进、科学、合理（</w:t>
            </w:r>
            <w:r>
              <w:rPr>
                <w:rFonts w:hint="eastAsia" w:ascii="宋体" w:hAnsi="宋体" w:cs="宋体"/>
                <w:color w:val="000000" w:themeColor="text1"/>
                <w:sz w:val="24"/>
                <w:szCs w:val="24"/>
                <w:highlight w:val="none"/>
                <w:lang w:eastAsia="zh-CN"/>
                <w14:textFill>
                  <w14:solidFill>
                    <w14:schemeClr w14:val="tx1"/>
                  </w14:solidFill>
                </w14:textFill>
              </w:rPr>
              <w:t>投标人</w:t>
            </w:r>
            <w:r>
              <w:rPr>
                <w:rFonts w:hint="eastAsia" w:ascii="宋体" w:hAnsi="宋体" w:eastAsia="宋体" w:cs="宋体"/>
                <w:color w:val="000000" w:themeColor="text1"/>
                <w:sz w:val="24"/>
                <w:szCs w:val="24"/>
                <w:highlight w:val="none"/>
                <w14:textFill>
                  <w14:solidFill>
                    <w14:schemeClr w14:val="tx1"/>
                  </w14:solidFill>
                </w14:textFill>
              </w:rPr>
              <w:t>有详细</w:t>
            </w:r>
            <w:r>
              <w:rPr>
                <w:rFonts w:hint="eastAsia" w:ascii="宋体" w:hAnsi="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14:textFill>
                  <w14:solidFill>
                    <w14:schemeClr w14:val="tx1"/>
                  </w14:solidFill>
                </w14:textFill>
              </w:rPr>
              <w:t>内部管理制度内容并有符合国家规定服务质量承诺、有廉洁自律保证措施等）</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分；服务方法和计划先进性、科学性有待改进、基本合理,（方案中有体现内部管理内容并有符合国家规定服务质量承诺、有廉洁自律保证措施等）</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分；服务方法和计划先进性、科学性有欠缺、合理程度较低（方案中没有体现内部管理内容并有符合国家规定服务质量承诺、或者没有廉洁自 律保证措施等）0-</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w:t>
            </w:r>
          </w:p>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2、根据</w:t>
            </w:r>
            <w:r>
              <w:rPr>
                <w:rFonts w:hint="eastAsia" w:ascii="宋体" w:hAnsi="宋体" w:cs="宋体"/>
                <w:color w:val="000000" w:themeColor="text1"/>
                <w:sz w:val="24"/>
                <w:szCs w:val="24"/>
                <w:highlight w:val="none"/>
                <w:lang w:eastAsia="zh-CN"/>
                <w14:textFill>
                  <w14:solidFill>
                    <w14:schemeClr w14:val="tx1"/>
                  </w14:solidFill>
                </w14:textFill>
              </w:rPr>
              <w:t>投标人</w:t>
            </w:r>
            <w:r>
              <w:rPr>
                <w:rFonts w:hint="eastAsia" w:ascii="宋体" w:hAnsi="宋体" w:eastAsia="宋体" w:cs="宋体"/>
                <w:color w:val="000000" w:themeColor="text1"/>
                <w:sz w:val="24"/>
                <w:szCs w:val="24"/>
                <w:highlight w:val="none"/>
                <w14:textFill>
                  <w14:solidFill>
                    <w14:schemeClr w14:val="tx1"/>
                  </w14:solidFill>
                </w14:textFill>
              </w:rPr>
              <w:t>针对本项目服务</w:t>
            </w:r>
            <w:r>
              <w:rPr>
                <w:rFonts w:hint="eastAsia" w:ascii="宋体" w:hAnsi="宋体" w:cs="宋体"/>
                <w:color w:val="000000" w:themeColor="text1"/>
                <w:sz w:val="24"/>
                <w:szCs w:val="24"/>
                <w:highlight w:val="none"/>
                <w:lang w:eastAsia="zh-CN"/>
                <w14:textFill>
                  <w14:solidFill>
                    <w14:schemeClr w14:val="tx1"/>
                  </w14:solidFill>
                </w14:textFill>
              </w:rPr>
              <w:t>实施</w:t>
            </w:r>
            <w:r>
              <w:rPr>
                <w:rFonts w:hint="eastAsia" w:ascii="宋体" w:hAnsi="宋体" w:eastAsia="宋体" w:cs="宋体"/>
                <w:color w:val="000000" w:themeColor="text1"/>
                <w:sz w:val="24"/>
                <w:szCs w:val="24"/>
                <w:highlight w:val="none"/>
                <w14:textFill>
                  <w14:solidFill>
                    <w14:schemeClr w14:val="tx1"/>
                  </w14:solidFill>
                </w14:textFill>
              </w:rPr>
              <w:t>方案的详细程度、规范性、可操作性打分。方案详细、规范、可操作性强的得</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分；方案较详细、规范性、可操作性有待改进的得</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分；方案有欠缺、可操作性较差，没有承诺和保证措施的得0-</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888" w:type="dxa"/>
            <w:gridSpan w:val="2"/>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989" w:type="dxa"/>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1134" w:type="dxa"/>
            <w:tcBorders>
              <w:top w:val="outset" w:color="auto" w:sz="6" w:space="0"/>
              <w:left w:val="single" w:color="auto" w:sz="4" w:space="0"/>
              <w:bottom w:val="outset" w:color="auto" w:sz="6" w:space="0"/>
              <w:right w:val="outset" w:color="auto" w:sz="6" w:space="0"/>
            </w:tcBorders>
            <w:vAlign w:val="center"/>
          </w:tcPr>
          <w:p>
            <w:pPr>
              <w:widowControl/>
              <w:spacing w:line="360" w:lineRule="exact"/>
              <w:rPr>
                <w:rFonts w:hint="eastAsia" w:ascii="宋体" w:hAnsi="宋体" w:eastAsia="宋体" w:cs="宋体"/>
                <w:color w:val="000000" w:themeColor="text1"/>
                <w:kern w:val="0"/>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人员配备</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8分</w:t>
            </w:r>
            <w:r>
              <w:rPr>
                <w:rFonts w:hint="eastAsia" w:ascii="宋体" w:hAnsi="宋体" w:cs="宋体"/>
                <w:color w:val="000000" w:themeColor="text1"/>
                <w:sz w:val="24"/>
                <w:szCs w:val="24"/>
                <w:highlight w:val="none"/>
                <w:lang w:eastAsia="zh-CN"/>
                <w14:textFill>
                  <w14:solidFill>
                    <w14:schemeClr w14:val="tx1"/>
                  </w14:solidFill>
                </w14:textFill>
              </w:rPr>
              <w:t>）</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人员配备</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岗位设置、服务人员配备方案合理，岗位职责及工作标准合理，提供的服务标准、规范的得</w:t>
            </w:r>
            <w:r>
              <w:rPr>
                <w:rFonts w:hint="eastAsia" w:ascii="宋体" w:hAnsi="宋体" w:cs="宋体"/>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eastAsia="宋体" w:cs="宋体"/>
                <w:color w:val="000000" w:themeColor="text1"/>
                <w:sz w:val="24"/>
                <w:szCs w:val="24"/>
                <w:highlight w:val="none"/>
                <w14:textFill>
                  <w14:solidFill>
                    <w14:schemeClr w14:val="tx1"/>
                  </w14:solidFill>
                </w14:textFill>
              </w:rPr>
              <w:t>分；岗位设置、服务人员配备方案、岗位职责及工作标准有待改进，提供的服务标准、规范性有待改进的得</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分；岗位设置、服务人员配备方案较差，岗位职责及工作标准差，提供的服务标准、规范性较差的得0-</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w:t>
            </w:r>
            <w:r>
              <w:rPr>
                <w:rFonts w:hint="eastAsia" w:ascii="宋体" w:hAnsi="宋体" w:cs="宋体"/>
                <w:color w:val="000000" w:themeColor="text1"/>
                <w:sz w:val="24"/>
                <w:szCs w:val="24"/>
                <w:highlight w:val="none"/>
                <w:lang w:val="en-US" w:eastAsia="zh-CN"/>
                <w14:textFill>
                  <w14:solidFill>
                    <w14:schemeClr w14:val="tx1"/>
                  </w14:solidFill>
                </w14:textFill>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888" w:type="dxa"/>
            <w:gridSpan w:val="2"/>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989" w:type="dxa"/>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1134" w:type="dxa"/>
            <w:tcBorders>
              <w:top w:val="outset" w:color="auto" w:sz="6" w:space="0"/>
              <w:left w:val="single" w:color="auto" w:sz="4"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安全保障措施（</w:t>
            </w:r>
            <w:r>
              <w:rPr>
                <w:rFonts w:hint="eastAsia" w:ascii="宋体" w:hAnsi="宋体" w:cs="宋体"/>
                <w:color w:val="000000" w:themeColor="text1"/>
                <w:sz w:val="24"/>
                <w:szCs w:val="24"/>
                <w:highlight w:val="none"/>
                <w:lang w:val="en-US" w:eastAsia="zh-CN"/>
                <w14:textFill>
                  <w14:solidFill>
                    <w14:schemeClr w14:val="tx1"/>
                  </w14:solidFill>
                </w14:textFill>
              </w:rPr>
              <w:t>7分</w:t>
            </w:r>
            <w:r>
              <w:rPr>
                <w:rFonts w:hint="eastAsia" w:ascii="宋体" w:hAnsi="宋体" w:cs="宋体"/>
                <w:color w:val="000000" w:themeColor="text1"/>
                <w:sz w:val="24"/>
                <w:szCs w:val="24"/>
                <w:highlight w:val="none"/>
                <w:lang w:eastAsia="zh-CN"/>
                <w14:textFill>
                  <w14:solidFill>
                    <w14:schemeClr w14:val="tx1"/>
                  </w14:solidFill>
                </w14:textFill>
              </w:rPr>
              <w:t>）</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投标人</w:t>
            </w:r>
            <w:r>
              <w:rPr>
                <w:rFonts w:hint="eastAsia" w:ascii="宋体" w:hAnsi="宋体" w:eastAsia="宋体" w:cs="宋体"/>
                <w:color w:val="000000" w:themeColor="text1"/>
                <w:sz w:val="24"/>
                <w:szCs w:val="24"/>
                <w:highlight w:val="none"/>
                <w14:textFill>
                  <w14:solidFill>
                    <w14:schemeClr w14:val="tx1"/>
                  </w14:solidFill>
                </w14:textFill>
              </w:rPr>
              <w:t>针对</w:t>
            </w:r>
            <w:r>
              <w:rPr>
                <w:rFonts w:hint="eastAsia" w:ascii="宋体" w:hAnsi="宋体" w:cs="宋体"/>
                <w:color w:val="000000" w:themeColor="text1"/>
                <w:sz w:val="24"/>
                <w:szCs w:val="24"/>
                <w:highlight w:val="none"/>
                <w:lang w:eastAsia="zh-CN"/>
                <w14:textFill>
                  <w14:solidFill>
                    <w14:schemeClr w14:val="tx1"/>
                  </w14:solidFill>
                </w14:textFill>
              </w:rPr>
              <w:t>服务</w:t>
            </w:r>
            <w:r>
              <w:rPr>
                <w:rFonts w:hint="eastAsia" w:ascii="宋体" w:hAnsi="宋体" w:eastAsia="宋体" w:cs="宋体"/>
                <w:color w:val="000000" w:themeColor="text1"/>
                <w:sz w:val="24"/>
                <w:szCs w:val="24"/>
                <w:highlight w:val="none"/>
                <w14:textFill>
                  <w14:solidFill>
                    <w14:schemeClr w14:val="tx1"/>
                  </w14:solidFill>
                </w14:textFill>
              </w:rPr>
              <w:t>人员值岗过程中的个人安全提出合理有效的保障措施。</w:t>
            </w:r>
            <w:r>
              <w:rPr>
                <w:rFonts w:hint="eastAsia" w:ascii="宋体" w:hAnsi="宋体" w:cs="宋体"/>
                <w:color w:val="000000" w:themeColor="text1"/>
                <w:sz w:val="24"/>
                <w:szCs w:val="24"/>
                <w:highlight w:val="none"/>
                <w:lang w:eastAsia="zh-CN"/>
                <w14:textFill>
                  <w14:solidFill>
                    <w14:schemeClr w14:val="tx1"/>
                  </w14:solidFill>
                </w14:textFill>
              </w:rPr>
              <w:t>措施</w:t>
            </w:r>
            <w:r>
              <w:rPr>
                <w:rFonts w:hint="eastAsia" w:ascii="宋体" w:hAnsi="宋体" w:eastAsia="宋体" w:cs="宋体"/>
                <w:color w:val="000000" w:themeColor="text1"/>
                <w:sz w:val="24"/>
                <w:szCs w:val="24"/>
                <w:highlight w:val="none"/>
                <w14:textFill>
                  <w14:solidFill>
                    <w14:schemeClr w14:val="tx1"/>
                  </w14:solidFill>
                </w14:textFill>
              </w:rPr>
              <w:t>详细、规范、可操作性强的得</w:t>
            </w: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分；</w:t>
            </w:r>
            <w:r>
              <w:rPr>
                <w:rFonts w:hint="eastAsia" w:ascii="宋体" w:hAnsi="宋体" w:cs="宋体"/>
                <w:color w:val="000000" w:themeColor="text1"/>
                <w:sz w:val="24"/>
                <w:szCs w:val="24"/>
                <w:highlight w:val="none"/>
                <w:lang w:eastAsia="zh-CN"/>
                <w14:textFill>
                  <w14:solidFill>
                    <w14:schemeClr w14:val="tx1"/>
                  </w14:solidFill>
                </w14:textFill>
              </w:rPr>
              <w:t>措施</w:t>
            </w:r>
            <w:r>
              <w:rPr>
                <w:rFonts w:hint="eastAsia" w:ascii="宋体" w:hAnsi="宋体" w:eastAsia="宋体" w:cs="宋体"/>
                <w:color w:val="000000" w:themeColor="text1"/>
                <w:sz w:val="24"/>
                <w:szCs w:val="24"/>
                <w:highlight w:val="none"/>
                <w14:textFill>
                  <w14:solidFill>
                    <w14:schemeClr w14:val="tx1"/>
                  </w14:solidFill>
                </w14:textFill>
              </w:rPr>
              <w:t>较详细、规范性、可操作性有待改进的得</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分；</w:t>
            </w:r>
            <w:r>
              <w:rPr>
                <w:rFonts w:hint="eastAsia" w:ascii="宋体" w:hAnsi="宋体" w:cs="宋体"/>
                <w:color w:val="000000" w:themeColor="text1"/>
                <w:sz w:val="24"/>
                <w:szCs w:val="24"/>
                <w:highlight w:val="none"/>
                <w:lang w:eastAsia="zh-CN"/>
                <w14:textFill>
                  <w14:solidFill>
                    <w14:schemeClr w14:val="tx1"/>
                  </w14:solidFill>
                </w14:textFill>
              </w:rPr>
              <w:t>措施</w:t>
            </w:r>
            <w:r>
              <w:rPr>
                <w:rFonts w:hint="eastAsia" w:ascii="宋体" w:hAnsi="宋体" w:eastAsia="宋体" w:cs="宋体"/>
                <w:color w:val="000000" w:themeColor="text1"/>
                <w:sz w:val="24"/>
                <w:szCs w:val="24"/>
                <w:highlight w:val="none"/>
                <w14:textFill>
                  <w14:solidFill>
                    <w14:schemeClr w14:val="tx1"/>
                  </w14:solidFill>
                </w14:textFill>
              </w:rPr>
              <w:t>有欠缺、可操作性较差，没有承诺和保证措施的得0-</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888" w:type="dxa"/>
            <w:gridSpan w:val="2"/>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989"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1134" w:type="dxa"/>
            <w:tcBorders>
              <w:top w:val="outset" w:color="auto" w:sz="6" w:space="0"/>
              <w:left w:val="single" w:color="auto" w:sz="4"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公共秩序维护及环境治理方案</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7分</w:t>
            </w:r>
            <w:r>
              <w:rPr>
                <w:rFonts w:hint="eastAsia" w:ascii="宋体" w:hAnsi="宋体" w:cs="宋体"/>
                <w:color w:val="000000" w:themeColor="text1"/>
                <w:sz w:val="24"/>
                <w:szCs w:val="24"/>
                <w:highlight w:val="none"/>
                <w:lang w:eastAsia="zh-CN"/>
                <w14:textFill>
                  <w14:solidFill>
                    <w14:schemeClr w14:val="tx1"/>
                  </w14:solidFill>
                </w14:textFill>
              </w:rPr>
              <w:t>）</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制定严格的公共秩序维护及环境治理方案。方案全面具体、优秀合理、可实施性强的得</w:t>
            </w:r>
            <w:r>
              <w:rPr>
                <w:rFonts w:hint="eastAsia" w:ascii="宋体" w:hAnsi="宋体" w:cs="宋体"/>
                <w:color w:val="000000" w:themeColor="text1"/>
                <w:sz w:val="24"/>
                <w:szCs w:val="24"/>
                <w:highlight w:val="none"/>
                <w:lang w:val="en-US" w:eastAsia="zh-CN"/>
                <w14:textFill>
                  <w14:solidFill>
                    <w14:schemeClr w14:val="tx1"/>
                  </w14:solidFill>
                </w14:textFill>
              </w:rPr>
              <w:t>5-7</w:t>
            </w:r>
            <w:r>
              <w:rPr>
                <w:rFonts w:hint="eastAsia" w:ascii="宋体" w:hAnsi="宋体" w:eastAsia="宋体" w:cs="宋体"/>
                <w:color w:val="000000" w:themeColor="text1"/>
                <w:sz w:val="24"/>
                <w:szCs w:val="24"/>
                <w:highlight w:val="none"/>
                <w14:textFill>
                  <w14:solidFill>
                    <w14:schemeClr w14:val="tx1"/>
                  </w14:solidFill>
                </w14:textFill>
              </w:rPr>
              <w:t>分，方案较全面、措施可行性有待改进的得</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分，方案不全、措施无法完全保障</w:t>
            </w:r>
            <w:r>
              <w:rPr>
                <w:rFonts w:hint="eastAsia" w:ascii="宋体" w:hAnsi="宋体" w:cs="宋体"/>
                <w:color w:val="000000" w:themeColor="text1"/>
                <w:sz w:val="24"/>
                <w:szCs w:val="24"/>
                <w:highlight w:val="none"/>
                <w:lang w:eastAsia="zh-CN"/>
                <w14:textFill>
                  <w14:solidFill>
                    <w14:schemeClr w14:val="tx1"/>
                  </w14:solidFill>
                </w14:textFill>
              </w:rPr>
              <w:t>公共</w:t>
            </w:r>
            <w:r>
              <w:rPr>
                <w:rFonts w:hint="eastAsia" w:ascii="宋体" w:hAnsi="宋体" w:eastAsia="宋体" w:cs="宋体"/>
                <w:color w:val="000000" w:themeColor="text1"/>
                <w:sz w:val="24"/>
                <w:szCs w:val="24"/>
                <w:highlight w:val="none"/>
                <w14:textFill>
                  <w14:solidFill>
                    <w14:schemeClr w14:val="tx1"/>
                  </w14:solidFill>
                </w14:textFill>
              </w:rPr>
              <w:t>秩序及环境治理的得0-</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w:t>
            </w:r>
            <w:r>
              <w:rPr>
                <w:rFonts w:hint="eastAsia" w:ascii="宋体" w:hAnsi="宋体" w:cs="宋体"/>
                <w:color w:val="000000" w:themeColor="text1"/>
                <w:sz w:val="24"/>
                <w:szCs w:val="24"/>
                <w:highlight w:val="none"/>
                <w:lang w:eastAsia="zh-CN"/>
                <w14:textFill>
                  <w14:solidFill>
                    <w14:schemeClr w14:val="tx1"/>
                  </w14:solidFill>
                </w14:textFill>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888" w:type="dxa"/>
            <w:gridSpan w:val="2"/>
            <w:vMerge w:val="continue"/>
            <w:tcBorders>
              <w:left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989"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1134" w:type="dxa"/>
            <w:tcBorders>
              <w:top w:val="outset" w:color="auto" w:sz="6" w:space="0"/>
              <w:left w:val="single" w:color="auto" w:sz="4"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应急处置方案及措施</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8分</w:t>
            </w:r>
            <w:r>
              <w:rPr>
                <w:rFonts w:hint="eastAsia" w:ascii="宋体" w:hAnsi="宋体" w:cs="宋体"/>
                <w:color w:val="000000" w:themeColor="text1"/>
                <w:sz w:val="24"/>
                <w:szCs w:val="24"/>
                <w:highlight w:val="none"/>
                <w:lang w:eastAsia="zh-CN"/>
                <w14:textFill>
                  <w14:solidFill>
                    <w14:schemeClr w14:val="tx1"/>
                  </w14:solidFill>
                </w14:textFill>
              </w:rPr>
              <w:t>）</w:t>
            </w:r>
          </w:p>
        </w:tc>
        <w:tc>
          <w:tcPr>
            <w:tcW w:w="6237" w:type="dxa"/>
            <w:tcBorders>
              <w:top w:val="outset" w:color="auto" w:sz="6" w:space="0"/>
              <w:left w:val="outset" w:color="auto" w:sz="6" w:space="0"/>
              <w:bottom w:val="outset" w:color="auto" w:sz="6" w:space="0"/>
              <w:right w:val="outset" w:color="auto" w:sz="6" w:space="0"/>
            </w:tcBorders>
            <w:vAlign w:val="center"/>
          </w:tcPr>
          <w:p>
            <w:pPr>
              <w:spacing w:line="360" w:lineRule="exact"/>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w:t>
            </w:r>
            <w:r>
              <w:rPr>
                <w:rFonts w:hint="eastAsia" w:ascii="宋体" w:hAnsi="宋体" w:cs="宋体"/>
                <w:color w:val="000000" w:themeColor="text1"/>
                <w:sz w:val="24"/>
                <w:szCs w:val="24"/>
                <w:highlight w:val="none"/>
                <w:lang w:eastAsia="zh-CN"/>
                <w14:textFill>
                  <w14:solidFill>
                    <w14:schemeClr w14:val="tx1"/>
                  </w14:solidFill>
                </w14:textFill>
              </w:rPr>
              <w:t>投标人</w:t>
            </w:r>
            <w:r>
              <w:rPr>
                <w:rFonts w:hint="eastAsia" w:ascii="宋体" w:hAnsi="宋体" w:eastAsia="宋体" w:cs="宋体"/>
                <w:color w:val="000000" w:themeColor="text1"/>
                <w:sz w:val="24"/>
                <w:szCs w:val="24"/>
                <w:highlight w:val="none"/>
                <w14:textFill>
                  <w14:solidFill>
                    <w14:schemeClr w14:val="tx1"/>
                  </w14:solidFill>
                </w14:textFill>
              </w:rPr>
              <w:t>针对项目特点编制突发事件的应急预案处理方案（包含但不限于防火、防盗、防破坏、群体事件处置预案、消防应急处置预案、人员急救处置预案）是否完善、合理、可行进行综合评价。优秀得</w:t>
            </w:r>
            <w:r>
              <w:rPr>
                <w:rFonts w:hint="eastAsia" w:ascii="宋体" w:hAnsi="宋体" w:cs="宋体"/>
                <w:color w:val="000000" w:themeColor="text1"/>
                <w:sz w:val="24"/>
                <w:szCs w:val="24"/>
                <w:highlight w:val="none"/>
                <w:lang w:val="en-US" w:eastAsia="zh-CN"/>
                <w14:textFill>
                  <w14:solidFill>
                    <w14:schemeClr w14:val="tx1"/>
                  </w14:solidFill>
                </w14:textFill>
              </w:rPr>
              <w:t>6-8</w:t>
            </w:r>
            <w:r>
              <w:rPr>
                <w:rFonts w:hint="eastAsia" w:ascii="宋体" w:hAnsi="宋体" w:eastAsia="宋体" w:cs="宋体"/>
                <w:color w:val="000000" w:themeColor="text1"/>
                <w:sz w:val="24"/>
                <w:szCs w:val="24"/>
                <w:highlight w:val="none"/>
                <w14:textFill>
                  <w14:solidFill>
                    <w14:schemeClr w14:val="tx1"/>
                  </w14:solidFill>
                </w14:textFill>
              </w:rPr>
              <w:t>分，良好得3-</w:t>
            </w: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分，一般得</w:t>
            </w:r>
            <w:r>
              <w:rPr>
                <w:rFonts w:hint="eastAsia" w:ascii="宋体" w:hAnsi="宋体" w:cs="宋体"/>
                <w:color w:val="000000" w:themeColor="text1"/>
                <w:sz w:val="24"/>
                <w:szCs w:val="24"/>
                <w:highlight w:val="none"/>
                <w:lang w:val="en-US" w:eastAsia="zh-CN"/>
                <w14:textFill>
                  <w14:solidFill>
                    <w14:schemeClr w14:val="tx1"/>
                  </w14:solidFill>
                </w14:textFill>
              </w:rPr>
              <w:t>0</w:t>
            </w:r>
            <w:r>
              <w:rPr>
                <w:rFonts w:hint="eastAsia" w:ascii="宋体" w:hAnsi="宋体" w:eastAsia="宋体" w:cs="宋体"/>
                <w:color w:val="000000" w:themeColor="text1"/>
                <w:sz w:val="24"/>
                <w:szCs w:val="24"/>
                <w:highlight w:val="none"/>
                <w14:textFill>
                  <w14:solidFill>
                    <w14:schemeClr w14:val="tx1"/>
                  </w14:solidFill>
                </w14:textFill>
              </w:rPr>
              <w:t>-2分</w:t>
            </w:r>
            <w:r>
              <w:rPr>
                <w:rFonts w:hint="eastAsia" w:ascii="宋体" w:hAnsi="宋体" w:cs="宋体"/>
                <w:color w:val="000000" w:themeColor="text1"/>
                <w:sz w:val="24"/>
                <w:szCs w:val="24"/>
                <w:highlight w:val="none"/>
                <w:lang w:eastAsia="zh-CN"/>
                <w14:textFill>
                  <w14:solidFill>
                    <w14:schemeClr w14:val="tx1"/>
                  </w14:solidFill>
                </w14:textFill>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1" w:type="dxa"/>
            <w:vMerge w:val="continue"/>
            <w:tcBorders>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888" w:type="dxa"/>
            <w:gridSpan w:val="2"/>
            <w:vMerge w:val="continue"/>
            <w:tcBorders>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989" w:type="dxa"/>
            <w:tcBorders>
              <w:top w:val="outset" w:color="auto" w:sz="6"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经济评审</w:t>
            </w:r>
          </w:p>
          <w:p>
            <w:pPr>
              <w:widowControl/>
              <w:spacing w:line="360" w:lineRule="exac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30</w:t>
            </w:r>
            <w:r>
              <w:rPr>
                <w:rFonts w:hint="eastAsia" w:ascii="宋体" w:hAnsi="宋体" w:eastAsia="宋体" w:cs="宋体"/>
                <w:color w:val="000000" w:themeColor="text1"/>
                <w:sz w:val="24"/>
                <w:szCs w:val="24"/>
                <w:highlight w:val="none"/>
                <w14:textFill>
                  <w14:solidFill>
                    <w14:schemeClr w14:val="tx1"/>
                  </w14:solidFill>
                </w14:textFill>
              </w:rPr>
              <w:t>分）</w:t>
            </w:r>
          </w:p>
        </w:tc>
        <w:tc>
          <w:tcPr>
            <w:tcW w:w="7371" w:type="dxa"/>
            <w:gridSpan w:val="2"/>
            <w:tcBorders>
              <w:top w:val="outset" w:color="auto" w:sz="6" w:space="0"/>
              <w:left w:val="single" w:color="auto" w:sz="4" w:space="0"/>
              <w:bottom w:val="single" w:color="auto" w:sz="4" w:space="0"/>
              <w:right w:val="outset" w:color="auto" w:sz="6" w:space="0"/>
            </w:tcBorders>
            <w:vAlign w:val="center"/>
          </w:tcPr>
          <w:p>
            <w:pPr>
              <w:widowControl/>
              <w:spacing w:line="3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评标委员会只对资格和符合性检查合格的投标文件进行价格评议，满足招标文件要求的有效投标报价取算术平均值为评标基准价，有效投标报价等于评标基准价时，得该项分值满分</w:t>
            </w:r>
            <w:r>
              <w:rPr>
                <w:rFonts w:hint="eastAsia" w:ascii="宋体" w:hAnsi="宋体" w:cs="宋体"/>
                <w:color w:val="000000" w:themeColor="text1"/>
                <w:sz w:val="24"/>
                <w:szCs w:val="24"/>
                <w:highlight w:val="none"/>
                <w:lang w:val="en-US" w:eastAsia="zh-CN"/>
                <w14:textFill>
                  <w14:solidFill>
                    <w14:schemeClr w14:val="tx1"/>
                  </w14:solidFill>
                </w14:textFill>
              </w:rPr>
              <w:t>30</w:t>
            </w:r>
            <w:r>
              <w:rPr>
                <w:rFonts w:hint="eastAsia" w:ascii="宋体" w:hAnsi="宋体" w:eastAsia="宋体" w:cs="宋体"/>
                <w:color w:val="000000" w:themeColor="text1"/>
                <w:sz w:val="24"/>
                <w:szCs w:val="24"/>
                <w:highlight w:val="none"/>
                <w14:textFill>
                  <w14:solidFill>
                    <w14:schemeClr w14:val="tx1"/>
                  </w14:solidFill>
                </w14:textFill>
              </w:rPr>
              <w:t>分，每高于1%扣</w:t>
            </w:r>
            <w:r>
              <w:rPr>
                <w:rFonts w:hint="eastAsia" w:ascii="宋体" w:hAnsi="宋体" w:eastAsia="宋体" w:cs="宋体"/>
                <w:color w:val="000000" w:themeColor="text1"/>
                <w:sz w:val="24"/>
                <w:szCs w:val="24"/>
                <w:highlight w:val="none"/>
                <w:lang w:val="en-US" w:eastAsia="zh-CN"/>
                <w14:textFill>
                  <w14:solidFill>
                    <w14:schemeClr w14:val="tx1"/>
                  </w14:solidFill>
                </w14:textFill>
              </w:rPr>
              <w:t>0.5</w:t>
            </w:r>
            <w:r>
              <w:rPr>
                <w:rFonts w:hint="eastAsia" w:ascii="宋体" w:hAnsi="宋体" w:eastAsia="宋体" w:cs="宋体"/>
                <w:color w:val="000000" w:themeColor="text1"/>
                <w:sz w:val="24"/>
                <w:szCs w:val="24"/>
                <w:highlight w:val="none"/>
                <w14:textFill>
                  <w14:solidFill>
                    <w14:schemeClr w14:val="tx1"/>
                  </w14:solidFill>
                </w14:textFill>
              </w:rPr>
              <w:t>分，每低于1%扣0.</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分。即：（1）投标报价高于或等于评标基准价时，投标报价得分=投标报价评审总分－（投标报价－评标基准价）/评标基准价×100×</w:t>
            </w:r>
            <w:r>
              <w:rPr>
                <w:rFonts w:hint="eastAsia" w:ascii="宋体" w:hAnsi="宋体" w:eastAsia="宋体" w:cs="宋体"/>
                <w:color w:val="000000" w:themeColor="text1"/>
                <w:sz w:val="24"/>
                <w:szCs w:val="24"/>
                <w:highlight w:val="none"/>
                <w:lang w:val="en-US" w:eastAsia="zh-CN"/>
                <w14:textFill>
                  <w14:solidFill>
                    <w14:schemeClr w14:val="tx1"/>
                  </w14:solidFill>
                </w14:textFill>
              </w:rPr>
              <w:t>0.5</w:t>
            </w:r>
            <w:r>
              <w:rPr>
                <w:rFonts w:hint="eastAsia" w:ascii="宋体" w:hAnsi="宋体" w:eastAsia="宋体" w:cs="宋体"/>
                <w:color w:val="000000" w:themeColor="text1"/>
                <w:sz w:val="24"/>
                <w:szCs w:val="24"/>
                <w:highlight w:val="none"/>
                <w14:textFill>
                  <w14:solidFill>
                    <w14:schemeClr w14:val="tx1"/>
                  </w14:solidFill>
                </w14:textFill>
              </w:rPr>
              <w:t>；（2）投标报价低于评标基准价时，投标报价评审总分－（评标基准价－投标报价）/评标基准价×100×0.</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w:t>
            </w:r>
          </w:p>
        </w:tc>
      </w:tr>
    </w:tbl>
    <w:p>
      <w:pPr>
        <w:spacing w:line="460" w:lineRule="exact"/>
        <w:ind w:firstLine="562" w:firstLineChars="200"/>
        <w:jc w:val="left"/>
        <w:outlineLvl w:val="1"/>
        <w:rPr>
          <w:rFonts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t>1. 评标方法</w:t>
      </w:r>
      <w:bookmarkEnd w:id="339"/>
      <w:bookmarkEnd w:id="340"/>
      <w:bookmarkEnd w:id="341"/>
      <w:bookmarkEnd w:id="342"/>
      <w:bookmarkEnd w:id="343"/>
      <w:bookmarkEnd w:id="344"/>
    </w:p>
    <w:p>
      <w:pPr>
        <w:spacing w:line="460" w:lineRule="exact"/>
        <w:ind w:firstLine="562"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t>1.</w:t>
      </w:r>
      <w:r>
        <w:rPr>
          <w:rFonts w:hint="eastAsia" w:asciiTheme="minorEastAsia" w:hAnsiTheme="minorEastAsia" w:eastAsiaTheme="minorEastAsia" w:cstheme="minorEastAsia"/>
          <w:color w:val="000000" w:themeColor="text1"/>
          <w:sz w:val="28"/>
          <w:szCs w:val="28"/>
          <w14:textFill>
            <w14:solidFill>
              <w14:schemeClr w14:val="tx1"/>
            </w14:solidFill>
          </w14:textFill>
        </w:rPr>
        <w:t>1本次评标采用综合评估法。评标委员会对满足招标文件实质性要求的投标文件，按照本章第2.2款规定的评分标准进行打分，并按总得分由高到低顺序推荐中标候选人，或根据招标人授权直接确定中标人。若有二家或二家以上的投标人总得分相同时，由招标人自行确认中标人。</w:t>
      </w:r>
    </w:p>
    <w:p>
      <w:pPr>
        <w:spacing w:line="460" w:lineRule="exact"/>
        <w:ind w:firstLine="562" w:firstLineChars="200"/>
        <w:jc w:val="left"/>
        <w:outlineLvl w:val="1"/>
        <w:rPr>
          <w:rFonts w:asciiTheme="minorEastAsia" w:hAnsiTheme="minorEastAsia" w:eastAsiaTheme="minorEastAsia" w:cstheme="minorEastAsia"/>
          <w:b/>
          <w:bCs/>
          <w:color w:val="000000" w:themeColor="text1"/>
          <w:sz w:val="28"/>
          <w:szCs w:val="28"/>
          <w14:textFill>
            <w14:solidFill>
              <w14:schemeClr w14:val="tx1"/>
            </w14:solidFill>
          </w14:textFill>
        </w:rPr>
      </w:pPr>
      <w:bookmarkStart w:id="345" w:name="_Toc25802"/>
      <w:bookmarkStart w:id="346" w:name="_Toc24823"/>
      <w:bookmarkStart w:id="347" w:name="_Toc7227"/>
      <w:bookmarkStart w:id="348" w:name="_Toc10592"/>
      <w:bookmarkStart w:id="349" w:name="_Toc523213620"/>
      <w:bookmarkStart w:id="350" w:name="_Toc18164"/>
      <w:r>
        <w:rPr>
          <w:rFonts w:hint="eastAsia" w:asciiTheme="minorEastAsia" w:hAnsiTheme="minorEastAsia" w:eastAsiaTheme="minorEastAsia" w:cstheme="minorEastAsia"/>
          <w:b/>
          <w:bCs/>
          <w:color w:val="000000" w:themeColor="text1"/>
          <w:sz w:val="28"/>
          <w:szCs w:val="28"/>
          <w14:textFill>
            <w14:solidFill>
              <w14:schemeClr w14:val="tx1"/>
            </w14:solidFill>
          </w14:textFill>
        </w:rPr>
        <w:t>2. 评审标准</w:t>
      </w:r>
      <w:bookmarkEnd w:id="345"/>
      <w:bookmarkEnd w:id="346"/>
      <w:bookmarkEnd w:id="347"/>
      <w:bookmarkEnd w:id="348"/>
      <w:bookmarkEnd w:id="349"/>
      <w:bookmarkEnd w:id="350"/>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51" w:name="_Toc15113"/>
      <w:bookmarkStart w:id="352" w:name="_Toc4302"/>
      <w:bookmarkStart w:id="353" w:name="_Toc18603101"/>
      <w:bookmarkStart w:id="354" w:name="_Toc29307"/>
      <w:r>
        <w:rPr>
          <w:rFonts w:hint="eastAsia" w:asciiTheme="minorEastAsia" w:hAnsiTheme="minorEastAsia" w:eastAsiaTheme="minorEastAsia" w:cstheme="minorEastAsia"/>
          <w:color w:val="000000" w:themeColor="text1"/>
          <w:sz w:val="28"/>
          <w:szCs w:val="28"/>
          <w14:textFill>
            <w14:solidFill>
              <w14:schemeClr w14:val="tx1"/>
            </w14:solidFill>
          </w14:textFill>
        </w:rPr>
        <w:t>2.1 初步评审标准</w:t>
      </w:r>
      <w:bookmarkEnd w:id="351"/>
      <w:bookmarkEnd w:id="352"/>
      <w:bookmarkEnd w:id="353"/>
      <w:bookmarkEnd w:id="354"/>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2.1.1 形式评审标准：见评标办法前附表。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2.1.2 资格评审标准：见评标办法前附表。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2.1.3 响应性评审标准：见评标办法前附表。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55" w:name="_Toc18603102"/>
      <w:bookmarkStart w:id="356" w:name="_Toc24758"/>
      <w:bookmarkStart w:id="357" w:name="_Toc24920"/>
      <w:bookmarkStart w:id="358" w:name="_Toc18399"/>
      <w:r>
        <w:rPr>
          <w:rFonts w:hint="eastAsia" w:asciiTheme="minorEastAsia" w:hAnsiTheme="minorEastAsia" w:eastAsiaTheme="minorEastAsia" w:cstheme="minorEastAsia"/>
          <w:color w:val="000000" w:themeColor="text1"/>
          <w:sz w:val="28"/>
          <w:szCs w:val="28"/>
          <w14:textFill>
            <w14:solidFill>
              <w14:schemeClr w14:val="tx1"/>
            </w14:solidFill>
          </w14:textFill>
        </w:rPr>
        <w:t>2.2 详细评审标准</w:t>
      </w:r>
      <w:bookmarkEnd w:id="355"/>
      <w:bookmarkEnd w:id="356"/>
      <w:bookmarkEnd w:id="357"/>
      <w:bookmarkEnd w:id="358"/>
      <w:r>
        <w:rPr>
          <w:rFonts w:hint="eastAsia" w:asciiTheme="minorEastAsia" w:hAnsiTheme="minorEastAsia" w:eastAsiaTheme="minorEastAsia" w:cstheme="minorEastAsia"/>
          <w:color w:val="000000" w:themeColor="text1"/>
          <w:sz w:val="28"/>
          <w:szCs w:val="28"/>
          <w14:textFill>
            <w14:solidFill>
              <w14:schemeClr w14:val="tx1"/>
            </w14:solidFill>
          </w14:textFill>
        </w:rPr>
        <w:t>：见评标办法前附表。</w:t>
      </w:r>
    </w:p>
    <w:p>
      <w:pPr>
        <w:spacing w:line="460" w:lineRule="exact"/>
        <w:ind w:firstLine="562" w:firstLineChars="200"/>
        <w:jc w:val="left"/>
        <w:outlineLvl w:val="1"/>
        <w:rPr>
          <w:rFonts w:asciiTheme="minorEastAsia" w:hAnsiTheme="minorEastAsia" w:eastAsiaTheme="minorEastAsia" w:cstheme="minorEastAsia"/>
          <w:b/>
          <w:bCs/>
          <w:color w:val="000000" w:themeColor="text1"/>
          <w:sz w:val="28"/>
          <w:szCs w:val="28"/>
          <w14:textFill>
            <w14:solidFill>
              <w14:schemeClr w14:val="tx1"/>
            </w14:solidFill>
          </w14:textFill>
        </w:rPr>
      </w:pPr>
      <w:bookmarkStart w:id="359" w:name="_Toc523213621"/>
      <w:bookmarkStart w:id="360" w:name="_Toc23195"/>
      <w:bookmarkStart w:id="361" w:name="_Toc28996"/>
      <w:bookmarkStart w:id="362" w:name="_Toc4903"/>
      <w:bookmarkStart w:id="363" w:name="_Toc27495"/>
      <w:bookmarkStart w:id="364" w:name="_Toc3811"/>
      <w:r>
        <w:rPr>
          <w:rFonts w:hint="eastAsia" w:asciiTheme="minorEastAsia" w:hAnsiTheme="minorEastAsia" w:eastAsiaTheme="minorEastAsia" w:cstheme="minorEastAsia"/>
          <w:b/>
          <w:bCs/>
          <w:color w:val="000000" w:themeColor="text1"/>
          <w:sz w:val="28"/>
          <w:szCs w:val="28"/>
          <w14:textFill>
            <w14:solidFill>
              <w14:schemeClr w14:val="tx1"/>
            </w14:solidFill>
          </w14:textFill>
        </w:rPr>
        <w:t>3. 评标程序</w:t>
      </w:r>
      <w:bookmarkEnd w:id="359"/>
      <w:bookmarkEnd w:id="360"/>
      <w:bookmarkEnd w:id="361"/>
      <w:bookmarkEnd w:id="362"/>
      <w:bookmarkEnd w:id="363"/>
      <w:bookmarkEnd w:id="364"/>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65" w:name="_Toc18603104"/>
      <w:bookmarkStart w:id="366" w:name="_Toc25798"/>
      <w:bookmarkStart w:id="367" w:name="_Toc28645"/>
      <w:bookmarkStart w:id="368" w:name="_Toc4390"/>
      <w:r>
        <w:rPr>
          <w:rFonts w:hint="eastAsia" w:asciiTheme="minorEastAsia" w:hAnsiTheme="minorEastAsia" w:eastAsiaTheme="minorEastAsia" w:cstheme="minorEastAsia"/>
          <w:color w:val="000000" w:themeColor="text1"/>
          <w:sz w:val="28"/>
          <w:szCs w:val="28"/>
          <w14:textFill>
            <w14:solidFill>
              <w14:schemeClr w14:val="tx1"/>
            </w14:solidFill>
          </w14:textFill>
        </w:rPr>
        <w:t>3.1 评标准备</w:t>
      </w:r>
      <w:bookmarkEnd w:id="365"/>
      <w:bookmarkEnd w:id="366"/>
      <w:bookmarkEnd w:id="367"/>
      <w:bookmarkEnd w:id="368"/>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3.1.1 评标委员会成员签到</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评标委员会成员到达评标现场时应在签到表上签到以证明其出席。</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3.1.2 评标委员会的分工</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由评标委员会首先推选一名评标委员会负责人，评标委员会负责人负责评标活动的组织领导工作，评标委员会负责人在与其他评标委员会成员具有同等表决权。</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3.1.3 熟悉文件资料</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3.1.3.1 评标委员会负责人应组织评标委员会成员认真研究招标文件，了解和熟悉招标目的、服务范围、主要合同条件、技术标准和要求、服务期要求，掌握评标标准和方法，熟悉评标表格的使用。未在招标文件中规定的标准和方法不得作为评标的依据。</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3.1.3.2 评标委员会成员在评标前应当了解招标工程概况及招标文件内容。招标人或其委托的招标代理机构应当向评标委员会提供评标所需的重要信息和相关数据资料，主要包括：</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（一）招标文件；</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（二）未在开标会上当场拒绝的投标文件；</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（三）开标会记录；</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69" w:name="_Toc18603105"/>
      <w:bookmarkStart w:id="370" w:name="_Toc13802"/>
      <w:bookmarkStart w:id="371" w:name="_Toc11737"/>
      <w:bookmarkStart w:id="372" w:name="_Toc25496"/>
      <w:r>
        <w:rPr>
          <w:rFonts w:hint="eastAsia" w:asciiTheme="minorEastAsia" w:hAnsiTheme="minorEastAsia" w:eastAsiaTheme="minorEastAsia" w:cstheme="minorEastAsia"/>
          <w:color w:val="000000" w:themeColor="text1"/>
          <w:sz w:val="28"/>
          <w:szCs w:val="28"/>
          <w14:textFill>
            <w14:solidFill>
              <w14:schemeClr w14:val="tx1"/>
            </w14:solidFill>
          </w14:textFill>
        </w:rPr>
        <w:t>3.2 初步评审</w:t>
      </w:r>
      <w:bookmarkEnd w:id="369"/>
      <w:bookmarkEnd w:id="370"/>
      <w:bookmarkEnd w:id="371"/>
      <w:bookmarkEnd w:id="372"/>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3.2.1 评标委员会可以要求投标人提交第二章“投标人须知”第3.5.1项规定的有关证明和证件的原件，以便核验。评标委员会依据本章第2.1款规定的标准对投标文件进行初步评审。有一项不符合评审标准的，其投标被否决。</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3.2.2 投标人有以下情形之一的，其投标被否决：</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（1）第二章“投标人须知”第1.4.3项、第1.4.4项规定的任何一种情形的；</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（2）串通投标或弄虚作假或有其他违法行为的；</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1）有下列情形之一的，视为投标人相互串通投标：</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① 不同投标人的投标文件由同一单位或者个人编制；</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② 不同投标人委托同一单位或者个人办理投标事宜；</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③ 不同投标人的投标文件载明的项目管理成员为同一人；</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④ 不同投标人的投标文件异常一致或者投标报价呈规律性差异；</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⑤ 不同投标人的投标文件相互混装；</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2）有下列情形之一的，属于弄虚作假行为：</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① 使用通过受让或者租借等方式获取的资格、资质证书投标的，即以他人名义投标的。</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② 使用伪造、变造的许可证件；</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③ 提供虚假的财务状况或者业绩；</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④ 提供虚假的项目负责人或者主要技术人员简历、劳动关系证明；</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⑤ 提供虚假的信用状况；</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⑥ 其他弄虚作假的行为。</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3.2.3投标报价有算术错误的，评标委员会按以下原则对投标报价进行修正，修正的价格经投标人书面确认后具有约束力。</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投标文件中的大写金额与小写金额不一致的，以大写金额为准；</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3.2.4 评标委员会否决不合格投标后，因有效投标不足三个使得投标明显缺乏竞争的，评标委员会可以否决全部投标。</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73" w:name="_Toc18603106"/>
      <w:bookmarkStart w:id="374" w:name="_Toc11764"/>
      <w:bookmarkStart w:id="375" w:name="_Toc14176"/>
      <w:bookmarkStart w:id="376" w:name="_Toc803"/>
      <w:r>
        <w:rPr>
          <w:rFonts w:hint="eastAsia" w:asciiTheme="minorEastAsia" w:hAnsiTheme="minorEastAsia" w:eastAsiaTheme="minorEastAsia" w:cstheme="minorEastAsia"/>
          <w:color w:val="000000" w:themeColor="text1"/>
          <w:sz w:val="28"/>
          <w:szCs w:val="28"/>
          <w14:textFill>
            <w14:solidFill>
              <w14:schemeClr w14:val="tx1"/>
            </w14:solidFill>
          </w14:textFill>
        </w:rPr>
        <w:t>3.3 详细评审</w:t>
      </w:r>
      <w:bookmarkEnd w:id="373"/>
      <w:bookmarkEnd w:id="374"/>
      <w:bookmarkEnd w:id="375"/>
      <w:bookmarkEnd w:id="376"/>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评标委员会对通过了初步评审的投标文件进行详细评审。</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3.3.1 综合评审</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77" w:name="EBa86d7aa452da4eeda08974dd8b7ba22c"/>
      <w:r>
        <w:rPr>
          <w:rFonts w:hint="eastAsia" w:asciiTheme="minorEastAsia" w:hAnsiTheme="minorEastAsia" w:eastAsiaTheme="minorEastAsia" w:cstheme="minorEastAsia"/>
          <w:color w:val="000000" w:themeColor="text1"/>
          <w:sz w:val="28"/>
          <w:szCs w:val="28"/>
          <w14:textFill>
            <w14:solidFill>
              <w14:schemeClr w14:val="tx1"/>
            </w14:solidFill>
          </w14:textFill>
        </w:rPr>
        <w:t>评标委员会依据评标办法前附表第2.2.2（2）款规定的评标因素及评审标准进行详细评审，投标人该环节最终得分为各评委评分的算术平均值。</w:t>
      </w:r>
      <w:bookmarkEnd w:id="377"/>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评标委员会成员对各投标人的综合评分为其各分项得分之和。</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78" w:name="_Toc18603107"/>
      <w:bookmarkStart w:id="379" w:name="_Toc30757"/>
      <w:bookmarkStart w:id="380" w:name="_Toc20694"/>
      <w:bookmarkStart w:id="381" w:name="_Toc31246"/>
      <w:r>
        <w:rPr>
          <w:rFonts w:hint="eastAsia" w:asciiTheme="minorEastAsia" w:hAnsiTheme="minorEastAsia" w:eastAsiaTheme="minorEastAsia" w:cstheme="minorEastAsia"/>
          <w:color w:val="000000" w:themeColor="text1"/>
          <w:sz w:val="28"/>
          <w:szCs w:val="28"/>
          <w14:textFill>
            <w14:solidFill>
              <w14:schemeClr w14:val="tx1"/>
            </w14:solidFill>
          </w14:textFill>
        </w:rPr>
        <w:t>3.4 投标文件的澄清和补正</w:t>
      </w:r>
      <w:bookmarkEnd w:id="378"/>
      <w:bookmarkEnd w:id="379"/>
      <w:bookmarkEnd w:id="380"/>
      <w:bookmarkEnd w:id="381"/>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3.4.1 在评标过程中，评标委员会可以书面形式要求投标人对所提交投标文件中不明确的内容进行书面澄清或说明，或者对细微偏差进行补正。评标委员会不接受投标人主动提出的澄清、说明或补正。</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3.4.2 澄清、说明和补正不得改变投标文件的实质性内容（算术性错误修正的除外）。投标人的书面澄清、说明和补正属于投标文件的组成部分。</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3.4.3 评标委员会对投标人提交的澄清、说明或补正有疑问的，可以要求投标人进一步澄清、说明或补正，直至满足评标委员会的要求。</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3.4.4 投标人拒不按照要求对投标文件进行澄清、说明或者补正的，评标委员会可以在详细评审时按招标文件规定作出不利于投标人的评审或将其投标文件作废标处理。</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82" w:name="_Toc18603108"/>
      <w:bookmarkStart w:id="383" w:name="_Toc25748"/>
      <w:bookmarkStart w:id="384" w:name="_Toc8648"/>
      <w:bookmarkStart w:id="385" w:name="_Toc1556"/>
      <w:r>
        <w:rPr>
          <w:rFonts w:hint="eastAsia" w:asciiTheme="minorEastAsia" w:hAnsiTheme="minorEastAsia" w:eastAsiaTheme="minorEastAsia" w:cstheme="minorEastAsia"/>
          <w:color w:val="000000" w:themeColor="text1"/>
          <w:sz w:val="28"/>
          <w:szCs w:val="28"/>
          <w14:textFill>
            <w14:solidFill>
              <w14:schemeClr w14:val="tx1"/>
            </w14:solidFill>
          </w14:textFill>
        </w:rPr>
        <w:t>3.5 评标结果</w:t>
      </w:r>
      <w:bookmarkEnd w:id="382"/>
      <w:bookmarkEnd w:id="383"/>
      <w:bookmarkEnd w:id="384"/>
      <w:bookmarkEnd w:id="385"/>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3.5.1 除第二章“投标人须知”前附表授权直接确定中标人外，评标委员会按总得分由高到低顺序推荐中标候选人。</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3.5.2 评标委员会完成评标后，应当向招标人提交书面评标报告。</w:t>
      </w:r>
    </w:p>
    <w:p>
      <w:pPr>
        <w:spacing w:line="460" w:lineRule="exact"/>
        <w:ind w:firstLine="562" w:firstLineChars="200"/>
        <w:jc w:val="left"/>
        <w:outlineLvl w:val="1"/>
        <w:rPr>
          <w:rFonts w:asciiTheme="minorEastAsia" w:hAnsiTheme="minorEastAsia" w:eastAsiaTheme="minorEastAsia" w:cstheme="minorEastAsia"/>
          <w:b/>
          <w:bCs/>
          <w:color w:val="000000" w:themeColor="text1"/>
          <w:sz w:val="28"/>
          <w:szCs w:val="28"/>
          <w14:textFill>
            <w14:solidFill>
              <w14:schemeClr w14:val="tx1"/>
            </w14:solidFill>
          </w14:textFill>
        </w:rPr>
      </w:pPr>
      <w:bookmarkStart w:id="386" w:name="_Toc13872"/>
      <w:bookmarkStart w:id="387" w:name="_Toc523213622"/>
      <w:bookmarkStart w:id="388" w:name="_Toc22643"/>
      <w:bookmarkStart w:id="389" w:name="_Toc22691"/>
      <w:bookmarkStart w:id="390" w:name="_Toc31583"/>
      <w:bookmarkStart w:id="391" w:name="_Toc30135"/>
      <w:r>
        <w:rPr>
          <w:rFonts w:hint="eastAsia" w:asciiTheme="minorEastAsia" w:hAnsiTheme="minorEastAsia" w:eastAsiaTheme="minorEastAsia" w:cstheme="minorEastAsia"/>
          <w:b/>
          <w:bCs/>
          <w:color w:val="000000" w:themeColor="text1"/>
          <w:sz w:val="28"/>
          <w:szCs w:val="28"/>
          <w14:textFill>
            <w14:solidFill>
              <w14:schemeClr w14:val="tx1"/>
            </w14:solidFill>
          </w14:textFill>
        </w:rPr>
        <w:t>4. 特殊情况的处置程序</w:t>
      </w:r>
      <w:bookmarkEnd w:id="386"/>
      <w:bookmarkEnd w:id="387"/>
      <w:bookmarkEnd w:id="388"/>
      <w:bookmarkEnd w:id="389"/>
      <w:bookmarkEnd w:id="390"/>
      <w:bookmarkEnd w:id="391"/>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92" w:name="_Toc18603110"/>
      <w:bookmarkStart w:id="393" w:name="_Toc17087"/>
      <w:bookmarkStart w:id="394" w:name="_Toc29165"/>
      <w:bookmarkStart w:id="395" w:name="_Toc19551"/>
      <w:r>
        <w:rPr>
          <w:rFonts w:hint="eastAsia" w:asciiTheme="minorEastAsia" w:hAnsiTheme="minorEastAsia" w:eastAsiaTheme="minorEastAsia" w:cstheme="minorEastAsia"/>
          <w:color w:val="000000" w:themeColor="text1"/>
          <w:sz w:val="28"/>
          <w:szCs w:val="28"/>
          <w14:textFill>
            <w14:solidFill>
              <w14:schemeClr w14:val="tx1"/>
            </w14:solidFill>
          </w14:textFill>
        </w:rPr>
        <w:t>4.1 关于评标活动暂停</w:t>
      </w:r>
      <w:bookmarkEnd w:id="392"/>
      <w:bookmarkEnd w:id="393"/>
      <w:bookmarkEnd w:id="394"/>
      <w:bookmarkEnd w:id="395"/>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4.1.1 评标委员会应当执行连续评标的原则，按评标办法中规定的程序、内容、方法、标准完成全部评标工作。只有发生不可抗力导致评标工作无法继续时，评标活动方可暂停。</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4.1.2 发生评标暂停情况时，评标委员会应当封存全部投标文件和评标记录，待不可抗力的影响结束且具备继续评标的条件时，由原评标委员会继续评标。</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396" w:name="_Toc18603111"/>
      <w:bookmarkStart w:id="397" w:name="_Toc7635"/>
      <w:bookmarkStart w:id="398" w:name="_Toc31665"/>
      <w:bookmarkStart w:id="399" w:name="_Toc4076"/>
      <w:r>
        <w:rPr>
          <w:rFonts w:hint="eastAsia" w:asciiTheme="minorEastAsia" w:hAnsiTheme="minorEastAsia" w:eastAsiaTheme="minorEastAsia" w:cstheme="minorEastAsia"/>
          <w:color w:val="000000" w:themeColor="text1"/>
          <w:sz w:val="28"/>
          <w:szCs w:val="28"/>
          <w14:textFill>
            <w14:solidFill>
              <w14:schemeClr w14:val="tx1"/>
            </w14:solidFill>
          </w14:textFill>
        </w:rPr>
        <w:t>4.2 关于评标中途更换评标委员会成员</w:t>
      </w:r>
      <w:bookmarkEnd w:id="396"/>
      <w:bookmarkEnd w:id="397"/>
      <w:bookmarkEnd w:id="398"/>
      <w:bookmarkEnd w:id="399"/>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4.2.1 除非发生下列情况之一，评标委员会成员不得在评标中途更换：</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 因不可抗拒的客观原因，不能到场或需在评标中途退出评标活动。</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 根据法律法规规定，某个或某几个评标委员会成员需要回避。</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4.2.2 退出评标的评标委员会成员，其已完成的评标行为无效。由招标人根据本招标文件规定的评标委员会成员生产方式另行确定替代者进行评标。</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bookmarkStart w:id="400" w:name="_Toc18603112"/>
      <w:bookmarkStart w:id="401" w:name="_Toc15256"/>
      <w:bookmarkStart w:id="402" w:name="_Toc28655"/>
      <w:bookmarkStart w:id="403" w:name="_Toc1544"/>
      <w:r>
        <w:rPr>
          <w:rFonts w:hint="eastAsia" w:asciiTheme="minorEastAsia" w:hAnsiTheme="minorEastAsia" w:eastAsiaTheme="minorEastAsia" w:cstheme="minorEastAsia"/>
          <w:color w:val="000000" w:themeColor="text1"/>
          <w:sz w:val="28"/>
          <w:szCs w:val="28"/>
          <w14:textFill>
            <w14:solidFill>
              <w14:schemeClr w14:val="tx1"/>
            </w14:solidFill>
          </w14:textFill>
        </w:rPr>
        <w:t>4.3 评标争议处理</w:t>
      </w:r>
      <w:bookmarkEnd w:id="400"/>
      <w:bookmarkEnd w:id="401"/>
      <w:bookmarkEnd w:id="402"/>
      <w:bookmarkEnd w:id="403"/>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4.3.1 评标委员会全体成员应独立评审，对所提出的评审意见承担个人责任。</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4.3.2 在任何评标环节中，需评标委员会就某项定性的评审结论做出表决的，由评标委员会全体成员按照少数服从多数的原则，以记名投票方式表决。表决不得违背法律、法规、规章和招标文件的规定。</w:t>
      </w:r>
    </w:p>
    <w:p>
      <w:pPr>
        <w:spacing w:line="460" w:lineRule="exact"/>
        <w:ind w:firstLine="560" w:firstLineChars="200"/>
        <w:jc w:val="left"/>
        <w:rPr>
          <w:rFonts w:ascii="宋体" w:hAnsi="宋体" w:cs="宋体"/>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4.3.3 评标委员会成员对集体决议或评审结论持有异议的，可以书面阐述其不同意见和理由。拒绝在集体决议或评标报告上签名，且不陈述其不同意见和理由的，视为同意集体决议或评标结论，评标委员会应当对此在评标报告中做出说明</w:t>
      </w:r>
      <w:r>
        <w:rPr>
          <w:rFonts w:hint="eastAsia" w:ascii="宋体" w:hAnsi="宋体" w:cs="宋体"/>
          <w:color w:val="000000" w:themeColor="text1"/>
          <w:sz w:val="24"/>
          <w:szCs w:val="24"/>
          <w14:textFill>
            <w14:solidFill>
              <w14:schemeClr w14:val="tx1"/>
            </w14:solidFill>
          </w14:textFill>
        </w:rPr>
        <w:t>。</w:t>
      </w:r>
    </w:p>
    <w:p>
      <w:pPr>
        <w:rPr>
          <w:color w:val="000000" w:themeColor="text1"/>
          <w14:textFill>
            <w14:solidFill>
              <w14:schemeClr w14:val="tx1"/>
            </w14:solidFill>
          </w14:textFill>
        </w:rPr>
      </w:pPr>
      <w:bookmarkStart w:id="404" w:name="EBc7bd10bc363a411c8a388fc52443158e"/>
      <w:bookmarkEnd w:id="404"/>
      <w:bookmarkStart w:id="405" w:name="_Toc23437"/>
      <w:bookmarkStart w:id="406" w:name="_Toc522293526"/>
      <w:bookmarkStart w:id="407" w:name="_Toc9663"/>
      <w:bookmarkStart w:id="408" w:name="_Toc20869"/>
      <w:bookmarkStart w:id="409" w:name="_Toc16569"/>
      <w:bookmarkStart w:id="410" w:name="_Toc21456"/>
      <w:r>
        <w:rPr>
          <w:rFonts w:hint="eastAsia"/>
          <w:color w:val="000000" w:themeColor="text1"/>
          <w14:textFill>
            <w14:solidFill>
              <w14:schemeClr w14:val="tx1"/>
            </w14:solidFill>
          </w14:textFill>
        </w:rPr>
        <w:br w:type="page"/>
      </w:r>
    </w:p>
    <w:p>
      <w:pPr>
        <w:pStyle w:val="5"/>
        <w:rPr>
          <w:color w:val="000000" w:themeColor="text1"/>
          <w14:textFill>
            <w14:solidFill>
              <w14:schemeClr w14:val="tx1"/>
            </w14:solidFill>
          </w14:textFill>
        </w:rPr>
      </w:pPr>
      <w:r>
        <w:rPr>
          <w:rFonts w:hint="eastAsia"/>
          <w:color w:val="000000" w:themeColor="text1"/>
          <w14:textFill>
            <w14:solidFill>
              <w14:schemeClr w14:val="tx1"/>
            </w14:solidFill>
          </w14:textFill>
        </w:rPr>
        <w:t>第四章  合同条款及格式</w:t>
      </w:r>
      <w:bookmarkEnd w:id="405"/>
      <w:bookmarkEnd w:id="406"/>
      <w:bookmarkEnd w:id="407"/>
      <w:bookmarkEnd w:id="408"/>
      <w:bookmarkEnd w:id="409"/>
      <w:bookmarkEnd w:id="410"/>
    </w:p>
    <w:p>
      <w:pPr>
        <w:adjustRightInd w:val="0"/>
        <w:snapToGrid w:val="0"/>
        <w:spacing w:line="360" w:lineRule="auto"/>
        <w:jc w:val="center"/>
        <w:rPr>
          <w:rFonts w:hint="eastAsia" w:ascii="宋体" w:hAnsi="宋体" w:eastAsia="宋体" w:cs="宋体"/>
          <w:bCs/>
          <w:color w:val="000000" w:themeColor="text1"/>
          <w:sz w:val="36"/>
          <w:szCs w:val="36"/>
          <w:highlight w:val="none"/>
          <w14:textFill>
            <w14:solidFill>
              <w14:schemeClr w14:val="tx1"/>
            </w14:solidFill>
          </w14:textFill>
        </w:rPr>
      </w:pPr>
      <w:r>
        <w:rPr>
          <w:rFonts w:hint="eastAsia" w:ascii="宋体" w:hAnsi="宋体" w:eastAsia="宋体" w:cs="宋体"/>
          <w:b/>
          <w:bCs w:val="0"/>
          <w:color w:val="000000" w:themeColor="text1"/>
          <w:sz w:val="36"/>
          <w:szCs w:val="36"/>
          <w:highlight w:val="none"/>
          <w14:textFill>
            <w14:solidFill>
              <w14:schemeClr w14:val="tx1"/>
            </w14:solidFill>
          </w14:textFill>
        </w:rPr>
        <w:t>服务外包合同</w:t>
      </w:r>
    </w:p>
    <w:p>
      <w:pPr>
        <w:jc w:val="center"/>
        <w:rPr>
          <w:rFonts w:hint="eastAsia" w:ascii="宋体" w:hAnsi="宋体" w:eastAsia="宋体" w:cs="宋体"/>
          <w:color w:val="000000" w:themeColor="text1"/>
          <w:sz w:val="15"/>
          <w:szCs w:val="15"/>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甲方：</w:t>
      </w:r>
      <w:r>
        <w:rPr>
          <w:rFonts w:hint="eastAsia" w:ascii="宋体" w:hAnsi="宋体" w:eastAsia="宋体" w:cs="宋体"/>
          <w:color w:val="000000" w:themeColor="text1"/>
          <w:sz w:val="24"/>
          <w:szCs w:val="24"/>
          <w:highlight w:val="none"/>
          <w:u w:val="single"/>
          <w14:textFill>
            <w14:solidFill>
              <w14:schemeClr w14:val="tx1"/>
            </w14:solidFill>
          </w14:textFill>
        </w:rPr>
        <w:t>宜昌长江三峡旅游客运有限公司</w:t>
      </w:r>
      <w:r>
        <w:rPr>
          <w:rFonts w:hint="eastAsia" w:ascii="宋体" w:hAnsi="宋体" w:eastAsia="宋体" w:cs="宋体"/>
          <w:color w:val="000000" w:themeColor="text1"/>
          <w:sz w:val="24"/>
          <w:szCs w:val="24"/>
          <w:highlight w:val="none"/>
          <w14:textFill>
            <w14:solidFill>
              <w14:schemeClr w14:val="tx1"/>
            </w14:solidFill>
          </w14:textFill>
        </w:rPr>
        <w:t xml:space="preserve"> （以下简称甲方）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乙方：</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（以下简称乙方）</w:t>
      </w:r>
    </w:p>
    <w:p>
      <w:pPr>
        <w:keepNext w:val="0"/>
        <w:keepLines w:val="0"/>
        <w:pageBreakBefore w:val="0"/>
        <w:widowControl w:val="0"/>
        <w:kinsoku/>
        <w:wordWrap/>
        <w:overflowPunct/>
        <w:topLinePunct w:val="0"/>
        <w:autoSpaceDE/>
        <w:autoSpaceDN/>
        <w:bidi w:val="0"/>
        <w:adjustRightInd/>
        <w:snapToGrid/>
        <w:spacing w:line="440" w:lineRule="exact"/>
        <w:ind w:firstLine="600"/>
        <w:textAlignment w:val="auto"/>
        <w:rPr>
          <w:rFonts w:hint="eastAsia" w:ascii="宋体" w:hAnsi="宋体" w:eastAsia="宋体" w:cs="宋体"/>
          <w:color w:val="000000" w:themeColor="text1"/>
          <w:sz w:val="24"/>
          <w:szCs w:val="24"/>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》及其相关法律法规的规定，甲、乙双方经友好协商，就</w:t>
      </w:r>
      <w:r>
        <w:rPr>
          <w:rFonts w:hint="eastAsia" w:ascii="宋体" w:hAnsi="宋体" w:eastAsia="宋体" w:cs="宋体"/>
          <w:color w:val="000000" w:themeColor="text1"/>
          <w:sz w:val="24"/>
          <w:szCs w:val="24"/>
          <w:highlight w:val="none"/>
          <w:u w:val="single"/>
          <w14:textFill>
            <w14:solidFill>
              <w14:schemeClr w14:val="tx1"/>
            </w14:solidFill>
          </w14:textFill>
        </w:rPr>
        <w:t>宜昌长江三峡旅游客运有限公司门卫、安检、水陆实名制岗位服务外包</w:t>
      </w:r>
      <w:r>
        <w:rPr>
          <w:rFonts w:hint="eastAsia" w:ascii="宋体" w:hAnsi="宋体" w:eastAsia="宋体" w:cs="宋体"/>
          <w:color w:val="000000" w:themeColor="text1"/>
          <w:sz w:val="24"/>
          <w:szCs w:val="24"/>
          <w:highlight w:val="none"/>
          <w14:textFill>
            <w14:solidFill>
              <w14:schemeClr w14:val="tx1"/>
            </w14:solidFill>
          </w14:textFill>
        </w:rPr>
        <w:t>达成合同如下：</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一、外包岗位服务时间及最低服务人数（根据实际情况随时可增减人员）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)东停车场岗（6人）：东停车场前门门卫4人，24小时三班倒；东停车场后门门卫1人7:00--9:00,16:00--21:00；东停车场停车现场管理1人7:00--9:00,15:30--20:30。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(二)实名制查验岗（1人）：7:00--9:00,18:00--20:00（月休2天）。</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)行李安检岗（1人）：7:00--9:00,16:00--20：00（月休2天）。</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)西停车场岗（3人）：执行24小时三班倒。</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)三峡游客中心大楼夜巡岗（2人）：20:00--次日9:00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六</w:t>
      </w:r>
      <w:r>
        <w:rPr>
          <w:rFonts w:hint="eastAsia" w:ascii="宋体" w:hAnsi="宋体" w:eastAsia="宋体" w:cs="宋体"/>
          <w:color w:val="000000" w:themeColor="text1"/>
          <w:sz w:val="24"/>
          <w:szCs w:val="24"/>
          <w:highlight w:val="none"/>
          <w14:textFill>
            <w14:solidFill>
              <w14:schemeClr w14:val="tx1"/>
            </w14:solidFill>
          </w14:textFill>
        </w:rPr>
        <w:t>)所有岗位人员的调休有乙方负责安排，应建立考勤值班记录，每月并报甲方公司。</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二、工作职责区域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)东停车场岗：三峡游客中心东侧停车场、发车台及后通道区域的周边环境卫生、经营和治安秩序的管理工作；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(二)实名制查验岗：三峡游客中心中厅实名制检查处（需要持证上岗）；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)行李安检岗：三峡游客中心通往发车台出口（需要持证上岗）；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)西停车场岗：负责西停车场区域范围的周边环境卫生、经营和治安秩序的管理工作。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)三峡游客中心大楼夜巡岗：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一楼：售票厅；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东西夹层：两坝一峡计调财务处和长江旅行社；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三楼：机关办公区域</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发车台及后通道区域。</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三、岗位职责/考核要求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下述内容是各岗位的岗位职责，也是服务质量考核内容，公司有权对乙方服务进行考核，视每项服务未达标情况罚扣1-5分，1分折合人民币10元，每月考核分数超过30分，公司将会对劳务公司做出提醒，全年累计超过3个月考核分数超过50分以上，甲方有权解除服务外包合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(一)停车场门卫</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门卫上岗时要登录自己的工号，检查是否正确登录，检查车牌识别系统设备是否完好和处于正常使用状态，当班期间要维护设备正常运行，有问题要马上处理，不能处理及时报告。要熟练掌握停车收费系统，确保各种车辆的收费和开闸操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2.门卫上岗时要清点备用金是否正确，未按要求执行，备用金有差额自行赔付。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3.有人临时接替收费，门卫要登记上岗时间、离岗时间、离岗时的收费金额和清点备用金，否则出现短款由门卫负责赔偿。当班期间收取的停车费必须严格保管，下班时打好封包， 并做好记录</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每个班次误差自行补齐;交接班时，备用金清点好，做好交接，未按要求执行，备用金有差额自行赔付。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4.门卫要注意现金安全，现金要保管好，不能随意丢在桌上:放备用金和封包的抽屉要锁好，如因此造成现金、封包丢失由门卫赔偿。</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5.当班期间要及时掌握停车场车辆停放动态，车辆停放较多时要及时统计剩余车位，以便合理调配停车，留4到5个机动车位给员工和酒店停车，严禁车场内有多余空车位不放车辆进场停放的行为。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6.负责维护门口车辆、人员的进出秩序和安全，特别是车辆出入高峰期大门口通行畅通和进出人员安全。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7.有车辆进入后通道岗管理区域要通知后通道岗，翻坝车辆进站下客要通知西厅岗。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8.及时购买停车收费定额票，备用金做到日清月结，严禁私自挪用备用金。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9.负责东侧停车场门口及周边的经营和治安秩序的管理工作，严禁“野车”、“兔子”在本岗位管辖区域内滞留、拉客、喊客。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10.认真写好工作记录，交接班时上岗职工要检查交接物品是否有效、完好。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11.认真做好区域内的防火、防盗工作，夜间要加强巡视。如因工作不负责造成财产损失的职工，要承担全部赔偿和法律责任。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12.严禁在收费电脑上使用U盘，如因此造成严重后果的，严肃处理。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13.按要求维护停车场内停车秩序，大车和小车的需按规定地点停放。并及时引导车辆有序和按指定出口出场。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14.发现进场停放车辆车身有明显伤痕，要及时告知车主本人，并在交接班本上对停车做好详细记录，否则如造成不良后果，当班工作人员将承担赔偿责。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15.下行游轮翻坝车和行李车到站，要用对讲机及时通知相关工作人员。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16.按规定做好免费出站车辆的核实、登记工作，私自减免停车费放行产生的损失由当班人员自行承担。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(二)东停车场后门岗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1.熟练掌握停车收费系统确保各种车辆收费和开闸操作</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2.上岗前在东站借备用金200元，拿东后门钥匙、登记本做好准备工作</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3.在东后门检查车辆识别系统是否运行正常</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4.大车出站数量较多发生拥堵时，要马上人工现金收费，快速将车辆放行出场</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5.无大车出站时要在场内巡视，维护场内停车秩序，提示大车司机可以提前扫码出站</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6.公司大车出站要收取安检单，做好门检登记工作。车上如有乘客，要提醒乘客系好安全带</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7.负责维护出口秩序和安全，特别是车辆出站高峰期，门口通行畅通和安全</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并及时引导车辆有序和按指定出口出场。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8.工作期间需清楚记录上岗时间、离岗时间、离岗时的收费金额，不得出现长短款现象</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9.下岗前，及时上交票款，正确填写现金交款凭证，打好封包交给东前门门卫，并作好登记。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(三)东停车场现场管理岗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1.当班期问要及时掌握停车场车辆停放动态，车辆停放较多时要及时统计剩余车位，以便合理调配停车，做到停放整齐</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2.负责维护场内车辆、人员的进出秩序和安全，特别是车辆出入高峰期时的通行畅通和进出人员安全</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3.场内车辆停车必须停到车位内，不得妨碍其他车辆通行</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4.确保场内车辆通行畅通</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5.协助前门卫指引进场小车的停放</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6.提醒大车司机出场时提前扫码缴费，快捷出站。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(四)实名制查验岗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1.维持秩序。员工需规范着装、文明上岗，在实名制查验入口引导旅客有序进行身份核验，要求旅客有序配合工作，避免旅客在实名制查验处拥堵、堆积。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旅客在出行当天，凭个人身份证件及相应船票或电子票信息，至港口登船。在实名制查验处出具身份证，经人脸识别闸机读取旅客信息经与系统比对核实，确保人、证、票三合一，方可放行旅客登船，严防游客携带宠物乘车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3.港澳来往大陆通行证和台胞证等需按地标指示在要求通道检验身份信息。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4.未携带身份证件的，需旅客在身份查验登记本上登记，包括姓名、电话号码、身份证号等。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5.如遇人脸识别闸机故障，需及时给值班班长反映情况，并作出应急处理，手动开闸保证旅客通过、避免高峰期人员滞留大厅。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6.注意提醒老人、小孩和身体不便的旅客注意脚下安全，不要推挤、插队，有序核验、快速通过。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(五)行李安检</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1.主动维持旅客进港秩序，引导旅客凭票有序登船，行李过机安检:引导入港后的旅客迅速离开入口处，避免堵塞入口。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2.忠于职守，严格把关，做好“三品”的检查工作。要掌握规律，坚持日常检查，严防游客携带“三品”及宠物进站乘车船。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3.发现有人携带“三品”和宠物进港时，要及时劝阻旅客携带乘车登船，并按有关规定做好相关的解释工作。发现有携带枪支弹药的立刻向公安机关和值班领导报告，并做好保护现场的工作。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4.掌握业务知识，了解“三品”的性能和特征，熟悉危险品性能及其危险(害)程度，使用X光安检仪时要善于观察、鉴别各类危险品。开包检查采用看、摸、闻、问等方法，提高检查效能。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5.有序引导游客进行安检，要文明检查，反对粗暴野蛮的检查方式。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6.对查获旅客携带的危险品及夹带行包进行托运的“三品”，要逐一登记，妥善保管，按有关规定处理。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7.每天必须做好安检机的工作日志和检查记录工作，并将所缴物品移交有关职能部门处理。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8.两坝一峡船到港后，负责引导游客从出站口安全出站。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9.三品范围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三品:易燃品、易爆品、易腐蚀等危险品的简称: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)枪支、械具类(含主要零部件)，包括: a.公务用枪:手枪、步枪、冲锋枪、机枪、防暴枪等</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b.民用枪:气枪、猎枪、小口径射击运动枪、麻醉注射枪等: c.其他枪支:仿真枪、道具枪、发令枪、钢珠枪、催泪枪、电击枪、消防灭火枪等: d.具有攻击性的各类器械、械具:警棍、催泪器、电击器、防卫器、弓、弩等。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爆炸物品类，包括：a.弹药:各类炮弹和子弹等；b.爆破器材:炸药、雷管、导火索、导爆索、爆破剂、手雷、手榴弹等；c.烟火制品:礼花弹、烟花、鞭炮、摔炮、拉炮、砸炮、发令纸以及黑火药、烟火剂、引线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)管制刀具:匕首、三棱刀(包括机械加工用的三棱刮刀)、带有自锁装置的弹簀刀以及其他类似的单刃、双刃、三棱刀等。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)易燃易爆物品，包括: a.易燃、助燃、可燃毒性压缩气体和液化气体：氢气、甲烷、乙烷、丁烷、天然气、乙烯、丙烯、乙炔(溶于介质的)、一氧化碳、液化石油气、氧气、煤气(瓦斯)等；b.易燃液体:汽油、煤油、柴油、苯、乙醇(酒精)、丙酮、乙醚、油漆、稀料、松香油及含易燃溶剂的制品等；c.易燃固体:红磷、闪光粉、固体酒精、赛璐珞等</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d.自燃物品:黄磷、白磷、硝化纤维(含胶片)、油纸及其制品等</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e.遇水燃烧物品:金属钾、钠、锂、碳化钙(电石)、镁铝粉等；f.氧化性物质和有机过氧化物:高锰酸钾、氯酸钾、过氧化钠、过氧化钾、过氧化铅、过醋酸、双氧水等。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)毒害品:氰化物、砒霜、毒鼠强、汞(水银)、剧毒农药等剧毒化学品以及硒粉、苯酚、生漆等。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)腐蚀性物品:盐酸、硫酸、硝酸、氢氧化钠、氢氧化钾、蓄电池(含氢氧化钾固体或注有碱液的)等。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)放射性物品:放射性同位素等。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eastAsia="宋体" w:cs="宋体"/>
          <w:color w:val="000000" w:themeColor="text1"/>
          <w:sz w:val="24"/>
          <w:szCs w:val="24"/>
          <w:highlight w:val="none"/>
          <w14:textFill>
            <w14:solidFill>
              <w14:schemeClr w14:val="tx1"/>
            </w14:solidFill>
          </w14:textFill>
        </w:rPr>
        <w:t>)传染病病原体: 乙肝病毒、炭疽菌病毒、结核杆菌、艾滋病病毒等。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14:textFill>
            <w14:solidFill>
              <w14:schemeClr w14:val="tx1"/>
            </w14:solidFill>
          </w14:textFill>
        </w:rPr>
        <w:t>)《铁路危险货物品名表》所列除上述物品以外的其他物品以及不能判明性质可能具有危险性的物品。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14:textFill>
            <w14:solidFill>
              <w14:schemeClr w14:val="tx1"/>
            </w14:solidFill>
          </w14:textFill>
        </w:rPr>
        <w:t>)国家法律、行政法规规定的其他禁止乘客携带的物品。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10.技能要求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行李安检岗工作人员，能熟练识别违禁物品，必须经专业安检机构培训并考试合格后上岗，要有培训记录和考试合格上岗证明。</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四、服务期限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本合同有效期自2021年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日起至2022年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五、服务费用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(一)服务费的构成: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外包人员的薪酬。</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按国家、省、市有关规定支付的社会保险费(包括基本养老、基本医疗(含大额医疗保险)、失业、工伤、生育五项保险)，其缴费基数不低于宜昌社会平均工资的60%。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其他费用。包括:福利费、工会经费、教育经费、税费、管理费、加班费等。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(二)服务费的标准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服务费用为每月人民币</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元(人民币</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整)，明细如下（服务费可根据实际上岗人数结算）: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东停车场岗：</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元/人/月✘6人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实名制查验岗：</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元/人/月✘1人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行李安检岗：</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元/人/月✘1人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元/月；</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西停车场岗：</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元/人/月✘3人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元/月；</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三峡游客中心大楼夜巡岗（2人）：</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元/人/月✘2人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元/月</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甲方按月度向乙方结算，乙方第一个月的安保工作完成后，甲方于次月前了个工作日内(遇节假日顺延)为乙方办理上月服务费财务报销手续，并在20日前以树方式向乙方支付服务费，依此类推。若乙方在安保服务工作中来达到合同及附件中规定的质量要求而被甲方予以扣分的，扣分的分值所折算的金额直接从本月度的安保服务费中扣除，考核表附在发票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(三)服务费的支付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甲方应从乙方保安人员到岗之日算起，按月支付给乙方。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(四)付款方式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甲方根据乙方开具的发票统一对公账户转帐。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开票单位:</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地址、电话:</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开户行及帐号:</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甲方必须按时足额支付保安人员劳务费，以保证工资正常发放。乙方收取的劳务费不含有甲方财产的保险费。</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六、双方的职责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(一)甲方的职责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协助做好乙方外包人员的日常管理教育工作，以及与岗位工作相关的业务学习和指导。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甲方有权根据合同约定的岗位职责对乙方提供的服务质量进行考核，对未达标服务予以扣分罚款并通知乙方负责人员。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甲方有权对乙方服务质量进行检查、监督、指导以及考核，并及时将考核结果反馈至乙方。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制定外包岗位责任区内有关的规范管理制度和细则，同时还根据工作需要，制定出入证、车辆停放证等，使乙方外包人员上岗后有章可循、有证可查。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合同期间，外包人员在工作中因严格制度，维护合法利益而遭受不法侵害时，甲方应及时主动出面制止和处理。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在履行合同中，甲方如需调用外包人员执行合同任务时，造成的后果由甲方负责。如果是外包人人员的个人行为，由外包服务公司协助司法机关追究外包人员个人责任。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7.甲方给乙方外包人员提供免费工作餐、值班记录本、进出物资登记本。</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甲方对乙方外包员工可进行工作质量考核，考核制度及工作职责由甲方提供附合同后。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(二)乙方的职责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负责做好外包人员的管理、教育、学习、训练及勤务检查考核工作。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负责在甲方工作的外包人员工资、奖金和服装发放及管理。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按照甲方的工作需求做好外包人员的人事安排，协助甲方做好各项工作。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外包人员在工作中没有履行合同中规定的职责和任务造成的损失和后果由外包公司负责。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5.外包人员工作表现不符合同要求的岗位职责，甲方有权要求乙方更换外包人员直至符合工作要求，期间因工作表现差产生的考核由外包人员自行承担。</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七、外包人员劳动保护</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(一)甲方向乙方外但人员提供必要的劳助条件，劳助工具，安全生产保障、劳动防护用品(对讲机及手电筒)，</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外包人员因工负伤的医疗费、治疗期间的工资，伤残补助金及因工程亡等相关费用，由乙方按国家、省、市伤保险有关规定执行，属工伤保险统筹的费用，由乙方到工伤保险部门办理手续，由工伤保险基金支付。</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八、合同的终止、续订和违的责任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)合同的终止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甲方经上级机构批准撤消或遇重大事件，失去执行合同能力或不需要再聘请外包人员，甲方需提前一个月告知乙方，不得单方面随意终止合同。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乙方服务全年累计3个月考核分数均超过50分以上，甲方有权终止合同。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甲方在履行合同过程中，不按规定的时间支付外包服务费，乙方可随时终止合同，井由甲方按违约责任支付费用。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4.乙方如需提前终止合同， 需提前一个月通知甲方，乙方不得擅自更换人员，如确需更换人员，需经甲方同意后方可更换。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(二)合同的顺延、续订以及违约责任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合同期满，甲，乙双方所签合同是否顺延和续签，甲、乙双方均须提前个月告知对方，以便做好合同络止或者顺延及续签的准备工作。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甲、乙双方在履行合同期间，因任何一方无故终止合同，给对方造成经济损失的，违约方应将未履行完合同期间保安服务费的50%支付给对方作为经济赔偿。</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九、赔偿责任的划分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外包人员在执行合同过程中，在当班期间和责任范围内因工作失职造成经济损失的，以公安机关鉴定和认证为准，乙方负责赔偿。</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有下列情形之一的，乙方不承担赔偿责任: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)因发生不可抗拒和不可预测的自然灾害，外包人员按合同要求在岗位上尽职尽责奋力挽救，甲方仍然遭受-定经济损失的。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(二)甲方财务部门的现金及有价证券存放，不符合中国人民银行和公安部门有关管理规定而造成经济损失的。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)甲方责任区内发生盗窃案，经公安机关侦察破案后，认定属甲方内部人员所为。</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r>
        <w:rPr>
          <w:rFonts w:hint="eastAsia" w:ascii="宋体" w:hAnsi="宋体" w:eastAsia="宋体" w:cs="宋体"/>
          <w:color w:val="000000" w:themeColor="text1"/>
          <w:sz w:val="24"/>
          <w:szCs w:val="24"/>
          <w:highlight w:val="none"/>
          <w14:textFill>
            <w14:solidFill>
              <w14:schemeClr w14:val="tx1"/>
            </w14:solidFill>
          </w14:textFill>
        </w:rPr>
        <w:t xml:space="preserve"> 甲、乙双方未尽事宜， 参照相关法律、法规，可以相互协商另定。补充合同与正本具有同等效力。</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十一、争议解决条款</w:t>
      </w:r>
      <w:r>
        <w:rPr>
          <w:rFonts w:hint="eastAsia" w:ascii="宋体" w:hAnsi="宋体" w:eastAsia="宋体" w:cs="宋体"/>
          <w:color w:val="000000" w:themeColor="text1"/>
          <w:sz w:val="24"/>
          <w:szCs w:val="24"/>
          <w:highlight w:val="none"/>
          <w14:textFill>
            <w14:solidFill>
              <w14:schemeClr w14:val="tx1"/>
            </w14:solidFill>
          </w14:textFill>
        </w:rPr>
        <w:t>。本合同争议，由双方协商解决；协商不成可以依法向甲方所在地人民法院提起诉讼。</w:t>
      </w:r>
    </w:p>
    <w:p>
      <w:pPr>
        <w:pStyle w:val="21"/>
        <w:keepNext w:val="0"/>
        <w:keepLines w:val="0"/>
        <w:pageBreakBefore w:val="0"/>
        <w:widowControl w:val="0"/>
        <w:kinsoku/>
        <w:wordWrap/>
        <w:overflowPunct/>
        <w:topLinePunct w:val="0"/>
        <w:autoSpaceDE/>
        <w:autoSpaceDN/>
        <w:bidi w:val="0"/>
        <w:adjustRightInd/>
        <w:snapToGrid/>
        <w:spacing w:after="0"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r>
        <w:rPr>
          <w:rFonts w:hint="eastAsia" w:ascii="宋体" w:hAnsi="宋体" w:eastAsia="宋体" w:cs="宋体"/>
          <w:color w:val="000000" w:themeColor="text1"/>
          <w:sz w:val="24"/>
          <w:szCs w:val="24"/>
          <w:highlight w:val="none"/>
          <w14:textFill>
            <w14:solidFill>
              <w14:schemeClr w14:val="tx1"/>
            </w14:solidFill>
          </w14:textFill>
        </w:rPr>
        <w:t>本合同一式贰份，甲方执壹份、乙方执壹份，本合同自签订之日起具有法律效力。双方须认真遵守本合同各项内容和条款，以达到预期的合作效果。</w:t>
      </w:r>
    </w:p>
    <w:p>
      <w:pPr>
        <w:spacing w:line="408" w:lineRule="auto"/>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pPr>
    </w:p>
    <w:p>
      <w:pPr>
        <w:spacing w:line="408" w:lineRule="auto"/>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pPr>
    </w:p>
    <w:p>
      <w:pPr>
        <w:spacing w:line="408" w:lineRule="auto"/>
        <w:rPr>
          <w:rFonts w:asciiTheme="minorEastAsia" w:hAnsiTheme="minorEastAsia" w:eastAsiaTheme="minorEastAsia" w:cstheme="minorEastAsia"/>
          <w:color w:val="000000" w:themeColor="text1"/>
          <w:spacing w:val="6"/>
          <w:sz w:val="24"/>
          <w:szCs w:val="28"/>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甲方（盖单位章）：</w:t>
      </w:r>
      <w:r>
        <w:rPr>
          <w:rFonts w:hint="eastAsia" w:asciiTheme="minorEastAsia" w:hAnsiTheme="minorEastAsia" w:eastAsiaTheme="minorEastAsia" w:cstheme="minorEastAsia"/>
          <w:color w:val="000000" w:themeColor="text1"/>
          <w:spacing w:val="6"/>
          <w:sz w:val="24"/>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乙方（盖单位章）：</w:t>
      </w:r>
    </w:p>
    <w:p>
      <w:pPr>
        <w:spacing w:line="408" w:lineRule="auto"/>
        <w:rPr>
          <w:rFonts w:hint="eastAsia" w:asciiTheme="minorEastAsia" w:hAnsiTheme="minorEastAsia" w:eastAsiaTheme="minorEastAsia" w:cstheme="minorEastAsia"/>
          <w:color w:val="000000" w:themeColor="text1"/>
          <w:spacing w:val="6"/>
          <w:sz w:val="24"/>
          <w:szCs w:val="28"/>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法定代表人</w:t>
      </w:r>
      <w:r>
        <w:rPr>
          <w:rFonts w:hint="eastAsia" w:asciiTheme="minorEastAsia" w:hAnsiTheme="minorEastAsia" w:eastAsiaTheme="minorEastAsia" w:cstheme="minorEastAsia"/>
          <w:color w:val="000000" w:themeColor="text1"/>
          <w:spacing w:val="6"/>
          <w:sz w:val="24"/>
          <w:szCs w:val="28"/>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6"/>
          <w:sz w:val="24"/>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法定代表人</w:t>
      </w:r>
      <w:r>
        <w:rPr>
          <w:rFonts w:hint="eastAsia" w:asciiTheme="minorEastAsia" w:hAnsiTheme="minorEastAsia" w:eastAsiaTheme="minorEastAsia" w:cstheme="minorEastAsia"/>
          <w:color w:val="000000" w:themeColor="text1"/>
          <w:spacing w:val="6"/>
          <w:sz w:val="24"/>
          <w:szCs w:val="28"/>
          <w:highlight w:val="none"/>
          <w:lang w:eastAsia="zh-CN"/>
          <w14:textFill>
            <w14:solidFill>
              <w14:schemeClr w14:val="tx1"/>
            </w14:solidFill>
          </w14:textFill>
        </w:rPr>
        <w:t>：</w:t>
      </w:r>
    </w:p>
    <w:p>
      <w:pPr>
        <w:spacing w:line="408" w:lineRule="auto"/>
        <w:rPr>
          <w:rFonts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或其委托代理人（签字）：</w:t>
      </w:r>
      <w:r>
        <w:rPr>
          <w:rFonts w:hint="eastAsia" w:asciiTheme="minorEastAsia" w:hAnsiTheme="minorEastAsia" w:eastAsiaTheme="minorEastAsia" w:cstheme="minorEastAsia"/>
          <w:color w:val="000000" w:themeColor="text1"/>
          <w:spacing w:val="6"/>
          <w:sz w:val="24"/>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或其委托代理人（签字）：</w:t>
      </w:r>
    </w:p>
    <w:p>
      <w:pPr>
        <w:spacing w:line="408" w:lineRule="auto"/>
        <w:ind w:left="4536" w:hanging="4536" w:hangingChars="1800"/>
        <w:rPr>
          <w:rFonts w:asciiTheme="minorEastAsia" w:hAnsiTheme="minorEastAsia" w:eastAsiaTheme="minorEastAsia" w:cstheme="minorEastAsia"/>
          <w:color w:val="000000" w:themeColor="text1"/>
          <w:spacing w:val="6"/>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6"/>
          <w:sz w:val="24"/>
          <w:szCs w:val="24"/>
          <w:highlight w:val="none"/>
          <w14:textFill>
            <w14:solidFill>
              <w14:schemeClr w14:val="tx1"/>
            </w14:solidFill>
          </w14:textFill>
        </w:rPr>
        <w:t>账户名称：</w:t>
      </w:r>
      <w:r>
        <w:rPr>
          <w:rFonts w:hint="eastAsia" w:asciiTheme="minorEastAsia" w:hAnsiTheme="minorEastAsia" w:eastAsiaTheme="minorEastAsia" w:cstheme="minorEastAsia"/>
          <w:color w:val="000000" w:themeColor="text1"/>
          <w:spacing w:val="6"/>
          <w:sz w:val="24"/>
          <w:szCs w:val="24"/>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4"/>
          <w:highlight w:val="none"/>
          <w14:textFill>
            <w14:solidFill>
              <w14:schemeClr w14:val="tx1"/>
            </w14:solidFill>
          </w14:textFill>
        </w:rPr>
        <w:t>账户名称：</w:t>
      </w:r>
    </w:p>
    <w:p>
      <w:pPr>
        <w:spacing w:line="408" w:lineRule="auto"/>
        <w:rPr>
          <w:rFonts w:asciiTheme="minorEastAsia" w:hAnsiTheme="minorEastAsia" w:eastAsiaTheme="minorEastAsia" w:cstheme="minorEastAsia"/>
          <w:color w:val="000000" w:themeColor="text1"/>
          <w:spacing w:val="6"/>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6"/>
          <w:sz w:val="24"/>
          <w:szCs w:val="24"/>
          <w:highlight w:val="none"/>
          <w14:textFill>
            <w14:solidFill>
              <w14:schemeClr w14:val="tx1"/>
            </w14:solidFill>
          </w14:textFill>
        </w:rPr>
        <w:t>开户银行：</w:t>
      </w:r>
      <w:r>
        <w:rPr>
          <w:rFonts w:hint="eastAsia" w:asciiTheme="minorEastAsia" w:hAnsiTheme="minorEastAsia" w:eastAsiaTheme="minorEastAsia" w:cstheme="minorEastAsia"/>
          <w:color w:val="000000" w:themeColor="text1"/>
          <w:spacing w:val="6"/>
          <w:sz w:val="24"/>
          <w:szCs w:val="24"/>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4"/>
          <w:highlight w:val="none"/>
          <w14:textFill>
            <w14:solidFill>
              <w14:schemeClr w14:val="tx1"/>
            </w14:solidFill>
          </w14:textFill>
        </w:rPr>
        <w:t>开户银行：</w:t>
      </w:r>
    </w:p>
    <w:p>
      <w:pPr>
        <w:spacing w:line="408" w:lineRule="auto"/>
        <w:rPr>
          <w:rFonts w:asciiTheme="minorEastAsia" w:hAnsiTheme="minorEastAsia" w:eastAsiaTheme="minorEastAsia" w:cstheme="minorEastAsia"/>
          <w:color w:val="000000" w:themeColor="text1"/>
          <w:spacing w:val="6"/>
          <w:sz w:val="24"/>
          <w:szCs w:val="28"/>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6"/>
          <w:sz w:val="24"/>
          <w:szCs w:val="24"/>
          <w:highlight w:val="none"/>
          <w14:textFill>
            <w14:solidFill>
              <w14:schemeClr w14:val="tx1"/>
            </w14:solidFill>
          </w14:textFill>
        </w:rPr>
        <w:t>银行账号：</w:t>
      </w:r>
      <w:r>
        <w:rPr>
          <w:rFonts w:hint="eastAsia" w:asciiTheme="minorEastAsia" w:hAnsiTheme="minorEastAsia" w:eastAsiaTheme="minorEastAsia" w:cstheme="minorEastAsia"/>
          <w:color w:val="000000" w:themeColor="text1"/>
          <w:spacing w:val="6"/>
          <w:sz w:val="24"/>
          <w:szCs w:val="24"/>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4"/>
          <w:highlight w:val="none"/>
          <w14:textFill>
            <w14:solidFill>
              <w14:schemeClr w14:val="tx1"/>
            </w14:solidFill>
          </w14:textFill>
        </w:rPr>
        <w:t>银行账户：</w:t>
      </w:r>
    </w:p>
    <w:p>
      <w:pPr>
        <w:spacing w:line="408" w:lineRule="auto"/>
        <w:ind w:firstLine="504" w:firstLineChars="200"/>
        <w:rPr>
          <w:rFonts w:asciiTheme="minorEastAsia" w:hAnsiTheme="minorEastAsia" w:eastAsiaTheme="minorEastAsia" w:cstheme="minorEastAsia"/>
          <w:color w:val="000000" w:themeColor="text1"/>
          <w:spacing w:val="6"/>
          <w:sz w:val="24"/>
          <w:szCs w:val="28"/>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年</w:t>
      </w:r>
      <w:r>
        <w:rPr>
          <w:rFonts w:hint="eastAsia" w:asciiTheme="minorEastAsia" w:hAnsiTheme="minorEastAsia" w:eastAsiaTheme="minorEastAsia" w:cstheme="minorEastAsia"/>
          <w:color w:val="000000" w:themeColor="text1"/>
          <w:spacing w:val="6"/>
          <w:sz w:val="24"/>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月</w:t>
      </w:r>
      <w:r>
        <w:rPr>
          <w:rFonts w:hint="eastAsia" w:asciiTheme="minorEastAsia" w:hAnsiTheme="minorEastAsia" w:eastAsiaTheme="minorEastAsia" w:cstheme="minorEastAsia"/>
          <w:color w:val="000000" w:themeColor="text1"/>
          <w:spacing w:val="6"/>
          <w:sz w:val="24"/>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日</w:t>
      </w:r>
      <w:r>
        <w:rPr>
          <w:rFonts w:hint="eastAsia" w:asciiTheme="minorEastAsia" w:hAnsiTheme="minorEastAsia" w:eastAsiaTheme="minorEastAsia" w:cstheme="minorEastAsia"/>
          <w:color w:val="000000" w:themeColor="text1"/>
          <w:spacing w:val="6"/>
          <w:sz w:val="24"/>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年</w:t>
      </w:r>
      <w:r>
        <w:rPr>
          <w:rFonts w:hint="eastAsia" w:asciiTheme="minorEastAsia" w:hAnsiTheme="minorEastAsia" w:eastAsiaTheme="minorEastAsia" w:cstheme="minorEastAsia"/>
          <w:color w:val="000000" w:themeColor="text1"/>
          <w:spacing w:val="6"/>
          <w:sz w:val="24"/>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月</w:t>
      </w:r>
      <w:r>
        <w:rPr>
          <w:rFonts w:hint="eastAsia" w:asciiTheme="minorEastAsia" w:hAnsiTheme="minorEastAsia" w:eastAsiaTheme="minorEastAsia" w:cstheme="minorEastAsia"/>
          <w:color w:val="000000" w:themeColor="text1"/>
          <w:spacing w:val="6"/>
          <w:sz w:val="24"/>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6"/>
          <w:sz w:val="24"/>
          <w:szCs w:val="28"/>
          <w:highlight w:val="none"/>
          <w14:textFill>
            <w14:solidFill>
              <w14:schemeClr w14:val="tx1"/>
            </w14:solidFill>
          </w14:textFill>
        </w:rPr>
        <w:t>日</w:t>
      </w:r>
    </w:p>
    <w:p>
      <w:pPr>
        <w:tabs>
          <w:tab w:val="left" w:pos="1080"/>
          <w:tab w:val="left" w:pos="1780"/>
          <w:tab w:val="left" w:pos="5000"/>
          <w:tab w:val="left" w:pos="5840"/>
          <w:tab w:val="left" w:pos="6540"/>
        </w:tabs>
        <w:spacing w:line="44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br w:type="page"/>
      </w:r>
    </w:p>
    <w:p>
      <w:pPr>
        <w:pStyle w:val="5"/>
        <w:numPr>
          <w:ilvl w:val="0"/>
          <w:numId w:val="4"/>
        </w:numPr>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bookmarkStart w:id="411" w:name="_Toc17026"/>
      <w:r>
        <w:rPr>
          <w:rFonts w:hint="eastAsia"/>
          <w:color w:val="000000" w:themeColor="text1"/>
          <w14:textFill>
            <w14:solidFill>
              <w14:schemeClr w14:val="tx1"/>
            </w14:solidFill>
          </w14:textFill>
        </w:rPr>
        <w:t>商务及技术要求</w:t>
      </w:r>
      <w:bookmarkEnd w:id="411"/>
    </w:p>
    <w:p>
      <w:pPr>
        <w:pStyle w:val="39"/>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textAlignment w:val="auto"/>
        <w:outlineLvl w:val="1"/>
        <w:rPr>
          <w:rFonts w:hint="eastAsia" w:ascii="宋体" w:hAnsi="宋体" w:eastAsia="宋体" w:cs="宋体"/>
          <w:color w:val="000000" w:themeColor="text1"/>
          <w:szCs w:val="24"/>
          <w:highlight w:val="none"/>
          <w14:textFill>
            <w14:solidFill>
              <w14:schemeClr w14:val="tx1"/>
            </w14:solidFill>
          </w14:textFill>
        </w:rPr>
      </w:pPr>
      <w:bookmarkStart w:id="412" w:name="_Toc2608"/>
      <w:r>
        <w:rPr>
          <w:rFonts w:hint="eastAsia" w:ascii="宋体" w:hAnsi="宋体" w:eastAsia="宋体" w:cs="宋体"/>
          <w:b/>
          <w:color w:val="000000" w:themeColor="text1"/>
          <w:szCs w:val="24"/>
          <w:highlight w:val="none"/>
          <w:shd w:val="clear" w:color="auto" w:fill="FFFFFF"/>
          <w14:textFill>
            <w14:solidFill>
              <w14:schemeClr w14:val="tx1"/>
            </w14:solidFill>
          </w14:textFill>
        </w:rPr>
        <w:t>一、项目概况</w:t>
      </w:r>
      <w:bookmarkEnd w:id="412"/>
    </w:p>
    <w:p>
      <w:pPr>
        <w:pStyle w:val="39"/>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000000" w:themeColor="text1"/>
          <w:szCs w:val="24"/>
          <w:highlight w:val="none"/>
          <w:shd w:val="clear" w:color="auto" w:fill="FFFFFF"/>
          <w14:textFill>
            <w14:solidFill>
              <w14:schemeClr w14:val="tx1"/>
            </w14:solidFill>
          </w14:textFill>
        </w:rPr>
      </w:pPr>
      <w:r>
        <w:rPr>
          <w:rFonts w:hint="eastAsia" w:ascii="宋体" w:hAnsi="宋体" w:eastAsia="宋体" w:cs="宋体"/>
          <w:color w:val="000000" w:themeColor="text1"/>
          <w:szCs w:val="24"/>
          <w:highlight w:val="none"/>
          <w:shd w:val="clear" w:color="auto" w:fill="FFFFFF"/>
          <w14:textFill>
            <w14:solidFill>
              <w14:schemeClr w14:val="tx1"/>
            </w14:solidFill>
          </w14:textFill>
        </w:rPr>
        <w:t>（一）项目编号：HBXYZB（2021）142</w:t>
      </w:r>
    </w:p>
    <w:p>
      <w:pPr>
        <w:pStyle w:val="39"/>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000000" w:themeColor="text1"/>
          <w:szCs w:val="24"/>
          <w:highlight w:val="none"/>
          <w:shd w:val="clear" w:color="auto" w:fill="FFFFFF"/>
          <w14:textFill>
            <w14:solidFill>
              <w14:schemeClr w14:val="tx1"/>
            </w14:solidFill>
          </w14:textFill>
        </w:rPr>
      </w:pPr>
      <w:r>
        <w:rPr>
          <w:rFonts w:hint="eastAsia" w:ascii="宋体" w:hAnsi="宋体" w:eastAsia="宋体" w:cs="宋体"/>
          <w:color w:val="000000" w:themeColor="text1"/>
          <w:szCs w:val="24"/>
          <w:highlight w:val="none"/>
          <w:shd w:val="clear" w:color="auto" w:fill="FFFFFF"/>
          <w14:textFill>
            <w14:solidFill>
              <w14:schemeClr w14:val="tx1"/>
            </w14:solidFill>
          </w14:textFill>
        </w:rPr>
        <w:t>（二）项目名称：宜昌长江三峡旅游客运有限公司门卫、安检、水陆实名制服务外包</w:t>
      </w:r>
    </w:p>
    <w:p>
      <w:pPr>
        <w:pStyle w:val="39"/>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000000" w:themeColor="text1"/>
          <w:szCs w:val="24"/>
          <w:highlight w:val="none"/>
          <w:shd w:val="clear" w:color="auto" w:fill="FFFFFF"/>
          <w14:textFill>
            <w14:solidFill>
              <w14:schemeClr w14:val="tx1"/>
            </w14:solidFill>
          </w14:textFill>
        </w:rPr>
      </w:pPr>
      <w:r>
        <w:rPr>
          <w:rFonts w:hint="eastAsia" w:ascii="宋体" w:hAnsi="宋体" w:eastAsia="宋体" w:cs="宋体"/>
          <w:color w:val="000000" w:themeColor="text1"/>
          <w:szCs w:val="24"/>
          <w:highlight w:val="none"/>
          <w:shd w:val="clear" w:color="auto" w:fill="FFFFFF"/>
          <w14:textFill>
            <w14:solidFill>
              <w14:schemeClr w14:val="tx1"/>
            </w14:solidFill>
          </w14:textFill>
        </w:rPr>
        <w:t>（三）项目控制价：人民币肆拾柒万柒仟元整（¥477000.00元）。</w:t>
      </w:r>
    </w:p>
    <w:p>
      <w:pPr>
        <w:pStyle w:val="39"/>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000000" w:themeColor="text1"/>
          <w:szCs w:val="24"/>
          <w:highlight w:val="none"/>
          <w:shd w:val="clear" w:color="auto" w:fill="FFFFFF"/>
          <w14:textFill>
            <w14:solidFill>
              <w14:schemeClr w14:val="tx1"/>
            </w14:solidFill>
          </w14:textFill>
        </w:rPr>
      </w:pPr>
      <w:r>
        <w:rPr>
          <w:rFonts w:hint="eastAsia" w:ascii="宋体" w:hAnsi="宋体" w:eastAsia="宋体" w:cs="宋体"/>
          <w:color w:val="000000" w:themeColor="text1"/>
          <w:szCs w:val="24"/>
          <w:highlight w:val="none"/>
          <w:shd w:val="clear" w:color="auto" w:fill="FFFFFF"/>
          <w14:textFill>
            <w14:solidFill>
              <w14:schemeClr w14:val="tx1"/>
            </w14:solidFill>
          </w14:textFill>
        </w:rPr>
        <w:t>（四）服务内容：所需岗位服务人数为东停车场岗6人、实名制查验岗1人、行李安检岗1人、西停车场岗3人、三峡游客中心大楼夜巡岗2人。</w:t>
      </w:r>
    </w:p>
    <w:p>
      <w:pPr>
        <w:pStyle w:val="39"/>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000000" w:themeColor="text1"/>
          <w:szCs w:val="24"/>
          <w:highlight w:val="none"/>
          <w:shd w:val="clear" w:color="auto" w:fill="FFFFFF"/>
          <w14:textFill>
            <w14:solidFill>
              <w14:schemeClr w14:val="tx1"/>
            </w14:solidFill>
          </w14:textFill>
        </w:rPr>
      </w:pPr>
      <w:r>
        <w:rPr>
          <w:rFonts w:hint="eastAsia" w:ascii="宋体" w:hAnsi="宋体" w:eastAsia="宋体" w:cs="宋体"/>
          <w:color w:val="000000" w:themeColor="text1"/>
          <w:szCs w:val="24"/>
          <w:highlight w:val="none"/>
          <w:shd w:val="clear" w:color="auto" w:fill="FFFFFF"/>
          <w14:textFill>
            <w14:solidFill>
              <w14:schemeClr w14:val="tx1"/>
            </w14:solidFill>
          </w14:textFill>
        </w:rPr>
        <w:t>（五）服务地点：业主指定地点。</w:t>
      </w:r>
    </w:p>
    <w:p>
      <w:pPr>
        <w:pStyle w:val="39"/>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000000" w:themeColor="text1"/>
          <w:szCs w:val="24"/>
          <w:highlight w:val="none"/>
          <w:shd w:val="clear" w:color="auto" w:fill="FFFFFF"/>
          <w14:textFill>
            <w14:solidFill>
              <w14:schemeClr w14:val="tx1"/>
            </w14:solidFill>
          </w14:textFill>
        </w:rPr>
      </w:pPr>
      <w:r>
        <w:rPr>
          <w:rFonts w:hint="eastAsia" w:ascii="宋体" w:hAnsi="宋体" w:eastAsia="宋体" w:cs="宋体"/>
          <w:color w:val="000000" w:themeColor="text1"/>
          <w:szCs w:val="24"/>
          <w:highlight w:val="none"/>
          <w:shd w:val="clear" w:color="auto" w:fill="FFFFFF"/>
          <w14:textFill>
            <w14:solidFill>
              <w14:schemeClr w14:val="tx1"/>
            </w14:solidFill>
          </w14:textFill>
        </w:rPr>
        <w:t>（六）服务期：1年。</w:t>
      </w:r>
    </w:p>
    <w:p>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（七）付款方式：详见合同。 </w:t>
      </w:r>
    </w:p>
    <w:p>
      <w:pPr>
        <w:pStyle w:val="21"/>
        <w:keepNext w:val="0"/>
        <w:keepLines w:val="0"/>
        <w:pageBreakBefore w:val="0"/>
        <w:widowControl w:val="0"/>
        <w:kinsoku/>
        <w:wordWrap/>
        <w:overflowPunct/>
        <w:topLinePunct w:val="0"/>
        <w:autoSpaceDE/>
        <w:autoSpaceDN/>
        <w:bidi w:val="0"/>
        <w:adjustRightInd/>
        <w:snapToGrid/>
        <w:spacing w:after="0"/>
        <w:ind w:firstLine="482" w:firstLineChars="200"/>
        <w:textAlignment w:val="auto"/>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pPr>
      <w:r>
        <w:rPr>
          <w:rFonts w:hint="eastAsia" w:ascii="宋体" w:hAnsi="宋体" w:eastAsia="宋体" w:cs="宋体"/>
          <w:b/>
          <w:bCs/>
          <w:color w:val="000000" w:themeColor="text1"/>
          <w:kern w:val="0"/>
          <w:sz w:val="24"/>
          <w:szCs w:val="24"/>
          <w:highlight w:val="none"/>
          <w:shd w:val="clear" w:color="auto" w:fill="FFFFFF"/>
          <w:lang w:val="en-US" w:eastAsia="zh-CN" w:bidi="ar-SA"/>
          <w14:textFill>
            <w14:solidFill>
              <w14:schemeClr w14:val="tx1"/>
            </w14:solidFill>
          </w14:textFill>
        </w:rPr>
        <w:t>二、服务要求及标准</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pPr>
      <w:r>
        <w:rPr>
          <w:rFonts w:hint="eastAsia" w:ascii="宋体" w:hAnsi="宋体" w:eastAsia="宋体" w:cs="宋体"/>
          <w:b/>
          <w:bCs/>
          <w:color w:val="000000" w:themeColor="text1"/>
          <w:kern w:val="0"/>
          <w:sz w:val="24"/>
          <w:szCs w:val="24"/>
          <w:highlight w:val="none"/>
          <w:shd w:val="clear" w:color="auto" w:fill="FFFFFF"/>
          <w:lang w:val="en-US" w:eastAsia="zh-CN" w:bidi="ar-SA"/>
          <w14:textFill>
            <w14:solidFill>
              <w14:schemeClr w14:val="tx1"/>
            </w14:solidFill>
          </w14:textFill>
        </w:rPr>
        <w:t>(一)外包岗位服务时间及最低服务人数（根据实际情况随时可增减人员）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1.东停车场岗（6人）：东停</w:t>
      </w:r>
      <w:r>
        <w:rPr>
          <w:rFonts w:hint="eastAsia" w:ascii="宋体" w:hAnsi="宋体" w:eastAsia="宋体" w:cs="宋体"/>
          <w:color w:val="000000" w:themeColor="text1"/>
          <w:sz w:val="24"/>
          <w:szCs w:val="24"/>
          <w:highlight w:val="none"/>
          <w14:textFill>
            <w14:solidFill>
              <w14:schemeClr w14:val="tx1"/>
            </w14:solidFill>
          </w14:textFill>
        </w:rPr>
        <w:t>车场前门门卫4人，24小时三班倒；东停车场后门门卫1人7:00--9:00,16:00--21:00；东停车场停车现场管理1人7:00--9:00,15:30--20:30。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实名制查验岗（1人）：7:00--9:00,18:00--20:00（月休2天）。</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行李安检岗（1人）：7:00--9:00,16:00--20：00（月休2天）。</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西停车场岗（3人）：执行24小时三班倒。</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三峡游客中心大楼夜巡岗（2人）：20:00--次日9:00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所有岗位人员的调休有乙方负责安排，应建立考勤值班记录，每月并报甲方公司。</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b/>
          <w:bCs/>
          <w:color w:val="000000" w:themeColor="text1"/>
          <w:kern w:val="0"/>
          <w:sz w:val="24"/>
          <w:szCs w:val="24"/>
          <w:highlight w:val="none"/>
          <w:shd w:val="clear" w:color="auto" w:fill="FFFFFF"/>
          <w:lang w:val="en-US" w:eastAsia="zh-CN" w:bidi="ar-SA"/>
          <w14:textFill>
            <w14:solidFill>
              <w14:schemeClr w14:val="tx1"/>
            </w14:solidFill>
          </w14:textFill>
        </w:rPr>
        <w:t>二</w:t>
      </w:r>
      <w:r>
        <w:rPr>
          <w:rFonts w:hint="eastAsia" w:ascii="宋体" w:hAnsi="宋体" w:eastAsia="宋体" w:cs="宋体"/>
          <w:b/>
          <w:bCs/>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工作职责区域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东停车场岗：三峡游客中心东侧停车场、发车台及后通道区域的周边环境卫生、经营和治安秩序的管理工作；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实名制查验岗：三峡游客中心中厅实名制检查处（需要持证上岗）；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行李安检岗：三峡游客中心通往发车台出口（需要持证上岗）；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西停车场岗：负责西停车场区域范围的周边环境卫生、经营和治安秩序的管理工作。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三峡游客中心大楼夜巡岗：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一楼：售票厅；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2</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东西夹层：两坝一峡计调财务处和长江旅行社；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三楼：机关办公区域</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4</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发车台及后通道区域。</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b/>
          <w:bCs/>
          <w:color w:val="000000" w:themeColor="text1"/>
          <w:kern w:val="0"/>
          <w:sz w:val="24"/>
          <w:szCs w:val="24"/>
          <w:highlight w:val="none"/>
          <w:shd w:val="clear" w:color="auto" w:fill="FFFFFF"/>
          <w:lang w:val="en-US" w:eastAsia="zh-CN" w:bidi="ar-SA"/>
          <w14:textFill>
            <w14:solidFill>
              <w14:schemeClr w14:val="tx1"/>
            </w14:solidFill>
          </w14:textFill>
        </w:rPr>
        <w:t>三</w:t>
      </w:r>
      <w:r>
        <w:rPr>
          <w:rFonts w:hint="eastAsia" w:ascii="宋体" w:hAnsi="宋体" w:eastAsia="宋体" w:cs="宋体"/>
          <w:b/>
          <w:bCs/>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岗位职责/考核要求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下述内容是各岗位的岗位职责，也是服务质量考核内容，公司有权对乙方服务进行考核，视每项服务未达标情况罚扣1-5分，1分折合人民币10元，每月考核分数超过30分，公司将会对劳务公司做出提醒，全年累计超过3个月考核分数超过50分以上，甲方有权解除服务外包合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停车场门卫</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门卫上岗时要登录自己的工号，检查是否正确登录，检查车牌识别系统设备是否完好和处于正常使用状态，当班期间要维护设备正常运行，有问题要马上处理，不能处理及时报告。要熟练掌握停车收费系统，确保各种车辆的收费和开闸操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2</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门卫上岗时要清点备用金是否正确，未按要求执行，备用金有差额自行赔付。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有人临时接替收费，门卫要登记上岗时间、离岗时间、离岗时的收费金额和清点备用金，否则出现短款由门卫负责赔偿。当班期间收取的停车费必须严格保管，下班时打好封包， 并做好记录;每个班次误差自行补齐;交接班时，备用金清点好，做好交接，未按要求执行，备用金有差额自行赔付。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4</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门卫要注意现金安全，现金要保管好，不能随意丢在桌上:放备用金和封包的抽屉要锁好，如因此造成现金、封包丢失由门卫赔偿。</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5</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当班期间要及时掌握停车场车辆停放动态，车辆停放较多时要及时统计剩余车位，以便合理调配停车，留4到5个机动车位给员工和酒店停车，严禁车场内有多余空车位不放车辆进场停放的行为。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6</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负责维护门口车辆、人员的进出秩序和安全，特别是车辆出入高峰期大门口通行畅通和进出人员安全。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7</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有车辆进入后通道岗管理区域要通知后通道岗，翻坝车辆进站下客要通知西厅岗。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8</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及时购买停车收费定额票，备用金做到日清月结，严禁私自挪用备用金。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9</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负责东侧停车场门口及周边的经营和治安秩序的管理工作，严禁“野车”、“兔子”在本岗位管辖区域内滞留、拉客、喊客。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10</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认真写好工作记录，交接班时上岗职工要检查交接物品是否有效、完好。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11</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认真做好区域内的防火、防盗工作，夜间要加强巡视。如因工作不负责造成财产损失的职工，要承担全部赔偿和法律责任。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12</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严禁在收费电脑上使用U盘，如因此造成严重后果的，严肃处理。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13</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按要求维护停车场内停车秩序，大车和小车的需按规定地点停放。并及时引导车辆有序和按指定出口出场。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14</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发现进场停放车辆车身有明显伤痕，要及时告知车主本人，并在交接班本上对停车做好详细记录，否则如造成不良后果，当班工作人员将承担赔偿责。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15</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下行游轮翻坝车和行李车到站，要用对讲机及时通知相关工作人员。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16</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按规定做好免费出站车辆的核实、登记工作，私自减免停车费放行产生的损失由当班人员自行承担。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东停车场后门岗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熟练掌握停车收费系统确保各种车辆收费和开闸操作</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2</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上岗前在东站借备用金200元，拿东后门钥匙、登记本做好准备工作</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在东后门检查车辆识别系统是否运行正常</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4</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大车出站数量较多发生拥堵时，要马上人工现金收费，快速将车辆放行出场</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5</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无大车出站时要在场内巡视，维护场内停车秩序，提示大车司机可以提前扫码出站</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6</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公司大车出站要收取安检单，做好门检登记工作。车上如有乘客，要提醒乘客系好安全带</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7</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负责维护出口秩序和安全，特别是车辆出站高峰期，门口通行畅通和安全</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并及时引导车辆有序和按指定出口出场。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8</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工作期间需清楚记录上岗时间、离岗时间、离岗时的收费金额，不得出现长短款现象</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9</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下岗前，及时上交票款，正确填写现金交款凭证，打好封包交给东前门门卫，并作好登记。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东停车场现场管理岗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当班期问要及时掌握停车场车辆停放动态，车辆停放较多时要及时统计剩余车位，以便合理调配停车，做到停放整齐</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2</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负责维护场内车辆、人员的进出秩序和安全，特别是车辆出入高峰期时的通行畅通和进出人员安全</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场内车辆停车必须停到车位内，不得妨碍其他车辆通行</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4</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确保场内车辆通行畅通</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5</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协助前门卫指引进场小车的停放</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6</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提醒大车司机出场时提前扫码缴费，快捷出站。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实名制查验岗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维持秩序。员工需规范着装、文明上岗，在实名制查验入口引导旅客有序进行身份核验，要求旅客有序配合工作，避免旅客在实名制查验处拥堵、堆积。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2</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旅客在出行当天，凭个人身份证件及相应船票或电子票信息，至港口登船。在实名制查验处出具身份证，经人脸识别闸机读取旅客信息经与系统比对核实，确保人、证、票三合一，方可放行旅客登船，严防游客携带宠物乘车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港澳来往大陆通行证和台胞证等需按地标指示在要求通道检验身份信息。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4</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未携带身份证件的，需旅客在身份查验登记本上登记，包括姓名、电话号码、身份证号等。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5</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如遇人脸识别闸机故障，需及时给值班班长反映情况，并作出应急处理，手动开闸保证旅客通过、避免高峰期人员滞留大厅。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6</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注意提醒老人、小孩和身体不便的旅客注意脚下安全，不要推挤、插队，有序核验、快速通过。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行李安检</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主动维持旅客进港秩序，引导旅客凭票有序登船，行李过机安检:引导入港后的旅客迅速离开入口处，避免堵塞入口。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2</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忠于职守，严格把关，做好“三品”的检查工作。要掌握规律，坚持日常检查，严防游客携带“三品”及宠物进站乘车船。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发现有人携带“三品”和宠物进港时，要及时劝阻旅客携带乘车登船，并按有关规定做好相关的解释工作。发现有携带枪支弹药的立刻向公安机关和值班领导报告，并做好保护现场的工作。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4</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掌握业务知识，了解“三品”的性能和特征，熟悉危险品性能及其危险(害)程度，使用X光安检仪时要善于观察、鉴别各类危险品。开包检查采用看、摸、闻、问等方法，提高检查效能。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5</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有序引导游客进行安检，要文明检查，反对粗暴野蛮的检查方式。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6</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对查获旅客携带的危险品及夹带行包进行托运的“三品”，要逐一登记，妥善保管，按有关规定处理。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7</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每天必须做好安检机的工作日志和检查记录工作，并将所缴物品移交有关职能部门处理。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8</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两坝一峡船到港后，负责引导游客从出站口安全出站。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color w:val="000000" w:themeColor="text1"/>
          <w:kern w:val="0"/>
          <w:sz w:val="24"/>
          <w:szCs w:val="24"/>
          <w:highlight w:val="none"/>
          <w:shd w:val="clear" w:color="auto" w:fill="FFFFFF"/>
          <w:lang w:val="en-US" w:eastAsia="zh-CN" w:bidi="ar-SA"/>
          <w14:textFill>
            <w14:solidFill>
              <w14:schemeClr w14:val="tx1"/>
            </w14:solidFill>
          </w14:textFill>
        </w:rPr>
        <w:t>9</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三品范围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三品:易燃品、易爆品、易腐蚀等危险品的简称: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①</w:t>
      </w:r>
      <w:r>
        <w:rPr>
          <w:rFonts w:hint="eastAsia" w:ascii="宋体" w:hAnsi="宋体" w:eastAsia="宋体" w:cs="宋体"/>
          <w:color w:val="000000" w:themeColor="text1"/>
          <w:sz w:val="24"/>
          <w:szCs w:val="24"/>
          <w:highlight w:val="none"/>
          <w14:textFill>
            <w14:solidFill>
              <w14:schemeClr w14:val="tx1"/>
            </w14:solidFill>
          </w14:textFill>
        </w:rPr>
        <w:t>枪支、械具类(含主要零部件)，包括: a.公务用枪:手枪、步枪、冲锋枪、机枪、防暴枪等</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b.民用枪:气枪、猎枪、小口径射击运动枪、麻醉注射枪等: c.其他枪支:仿真枪、道具枪、发令枪、钢珠枪、催泪枪、电击枪、消防灭火枪等: d.具有攻击性的各类器械、械具:警棍、催泪器、电击器、防卫器、弓、弩等。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②</w:t>
      </w:r>
      <w:r>
        <w:rPr>
          <w:rFonts w:hint="eastAsia" w:ascii="宋体" w:hAnsi="宋体" w:eastAsia="宋体" w:cs="宋体"/>
          <w:color w:val="000000" w:themeColor="text1"/>
          <w:sz w:val="24"/>
          <w:szCs w:val="24"/>
          <w:highlight w:val="none"/>
          <w14:textFill>
            <w14:solidFill>
              <w14:schemeClr w14:val="tx1"/>
            </w14:solidFill>
          </w14:textFill>
        </w:rPr>
        <w:t>爆炸物品类，包括：a.弹药:各类炮弹和子弹等；b.爆破器材:炸药、雷管、导火索、导爆索、爆破剂、手雷、手榴弹等；c.烟火制品:礼花弹、烟花、鞭炮、摔炮、拉炮、砸炮、发令纸以及黑火药、烟火剂、引线等。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③</w:t>
      </w:r>
      <w:r>
        <w:rPr>
          <w:rFonts w:hint="eastAsia" w:ascii="宋体" w:hAnsi="宋体" w:eastAsia="宋体" w:cs="宋体"/>
          <w:color w:val="000000" w:themeColor="text1"/>
          <w:sz w:val="24"/>
          <w:szCs w:val="24"/>
          <w:highlight w:val="none"/>
          <w14:textFill>
            <w14:solidFill>
              <w14:schemeClr w14:val="tx1"/>
            </w14:solidFill>
          </w14:textFill>
        </w:rPr>
        <w:t>管制刀具:匕首、三棱刀(包括机械加工用的三棱刮刀)、带有自锁装置的弹簀刀以及其他类似的单刃、双刃、三棱刀等。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④</w:t>
      </w:r>
      <w:r>
        <w:rPr>
          <w:rFonts w:hint="eastAsia" w:ascii="宋体" w:hAnsi="宋体" w:eastAsia="宋体" w:cs="宋体"/>
          <w:color w:val="000000" w:themeColor="text1"/>
          <w:sz w:val="24"/>
          <w:szCs w:val="24"/>
          <w:highlight w:val="none"/>
          <w14:textFill>
            <w14:solidFill>
              <w14:schemeClr w14:val="tx1"/>
            </w14:solidFill>
          </w14:textFill>
        </w:rPr>
        <w:t>易燃易爆物品，包括: a.易燃、助燃、可燃毒性压缩气体和液化气体：氢气、甲烷、乙烷、丁烷、天然气、乙烯、丙烯、乙炔(溶于介质的)、一氧化碳、液化石油气、氧气、煤气(瓦斯)等；b.易燃液体:汽油、煤油、柴油、苯、乙醇(酒精)、丙酮、乙醚、油漆、稀料、松香油及含易燃溶剂的制品等；c.易燃固体:红磷、闪光粉、固体酒精、赛璐珞等</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d.自燃物品:黄磷、白磷、硝化纤维(含胶片)、油纸及其制品等</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e.遇水燃烧物品:金属钾、钠、锂、碳化钙(电石)、镁铝粉等；f.氧化性物质和有机过氧化物:高锰酸钾、氯酸钾、过氧化钠、过氧化钾、过氧化铅、过醋酸、双氧水等。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⑤</w:t>
      </w:r>
      <w:r>
        <w:rPr>
          <w:rFonts w:hint="eastAsia" w:ascii="宋体" w:hAnsi="宋体" w:eastAsia="宋体" w:cs="宋体"/>
          <w:color w:val="000000" w:themeColor="text1"/>
          <w:sz w:val="24"/>
          <w:szCs w:val="24"/>
          <w:highlight w:val="none"/>
          <w14:textFill>
            <w14:solidFill>
              <w14:schemeClr w14:val="tx1"/>
            </w14:solidFill>
          </w14:textFill>
        </w:rPr>
        <w:t>毒害品:氰化物、砒霜、毒鼠强、汞(水银)、剧毒农药等剧毒化学品以及硒粉、苯酚、生漆等。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⑥</w:t>
      </w:r>
      <w:r>
        <w:rPr>
          <w:rFonts w:hint="eastAsia" w:ascii="宋体" w:hAnsi="宋体" w:eastAsia="宋体" w:cs="宋体"/>
          <w:color w:val="000000" w:themeColor="text1"/>
          <w:sz w:val="24"/>
          <w:szCs w:val="24"/>
          <w:highlight w:val="none"/>
          <w14:textFill>
            <w14:solidFill>
              <w14:schemeClr w14:val="tx1"/>
            </w14:solidFill>
          </w14:textFill>
        </w:rPr>
        <w:t>腐蚀性物品:盐酸、硫酸、硝酸、氢氧化钠、氢氧化钾、蓄电池(含氢氧化钾固体或注有碱液的)等。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⑦</w:t>
      </w:r>
      <w:r>
        <w:rPr>
          <w:rFonts w:hint="eastAsia" w:ascii="宋体" w:hAnsi="宋体" w:eastAsia="宋体" w:cs="宋体"/>
          <w:color w:val="000000" w:themeColor="text1"/>
          <w:sz w:val="24"/>
          <w:szCs w:val="24"/>
          <w:highlight w:val="none"/>
          <w14:textFill>
            <w14:solidFill>
              <w14:schemeClr w14:val="tx1"/>
            </w14:solidFill>
          </w14:textFill>
        </w:rPr>
        <w:t>放射性物品:放射性同位素等。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⑧</w:t>
      </w:r>
      <w:r>
        <w:rPr>
          <w:rFonts w:hint="eastAsia" w:ascii="宋体" w:hAnsi="宋体" w:eastAsia="宋体" w:cs="宋体"/>
          <w:color w:val="000000" w:themeColor="text1"/>
          <w:sz w:val="24"/>
          <w:szCs w:val="24"/>
          <w:highlight w:val="none"/>
          <w14:textFill>
            <w14:solidFill>
              <w14:schemeClr w14:val="tx1"/>
            </w14:solidFill>
          </w14:textFill>
        </w:rPr>
        <w:t>传染病病原体: 乙肝病毒、炭疽菌病毒、结核杆菌、艾滋病病毒等。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⑨</w:t>
      </w:r>
      <w:r>
        <w:rPr>
          <w:rFonts w:hint="eastAsia" w:ascii="宋体" w:hAnsi="宋体" w:eastAsia="宋体" w:cs="宋体"/>
          <w:color w:val="000000" w:themeColor="text1"/>
          <w:sz w:val="24"/>
          <w:szCs w:val="24"/>
          <w:highlight w:val="none"/>
          <w14:textFill>
            <w14:solidFill>
              <w14:schemeClr w14:val="tx1"/>
            </w14:solidFill>
          </w14:textFill>
        </w:rPr>
        <w:t>《铁路危险货物品名表》所列除上述物品以外的其他物品以及不能判明性质可能具有危险性的物品。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⑩</w:t>
      </w:r>
      <w:r>
        <w:rPr>
          <w:rFonts w:hint="eastAsia" w:ascii="宋体" w:hAnsi="宋体" w:eastAsia="宋体" w:cs="宋体"/>
          <w:color w:val="000000" w:themeColor="text1"/>
          <w:sz w:val="24"/>
          <w:szCs w:val="24"/>
          <w:highlight w:val="none"/>
          <w14:textFill>
            <w14:solidFill>
              <w14:schemeClr w14:val="tx1"/>
            </w14:solidFill>
          </w14:textFill>
        </w:rPr>
        <w:t>国家法律、行政法规规定的其他禁止乘客携带的物品。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cs="宋体"/>
          <w:b w:val="0"/>
          <w:bCs w:val="0"/>
          <w:color w:val="000000" w:themeColor="text1"/>
          <w:kern w:val="0"/>
          <w:sz w:val="24"/>
          <w:szCs w:val="24"/>
          <w:highlight w:val="none"/>
          <w:shd w:val="clear" w:color="auto" w:fill="FFFFFF"/>
          <w:lang w:val="en-US" w:eastAsia="zh-CN" w:bidi="ar-SA"/>
          <w14:textFill>
            <w14:solidFill>
              <w14:schemeClr w14:val="tx1"/>
            </w14:solidFill>
          </w14:textFill>
        </w:rPr>
        <w:t>10</w:t>
      </w:r>
      <w:r>
        <w:rPr>
          <w:rFonts w:hint="eastAsia" w:ascii="宋体" w:hAnsi="宋体" w:eastAsia="宋体" w:cs="宋体"/>
          <w:b w:val="0"/>
          <w:bCs w:val="0"/>
          <w:color w:val="000000" w:themeColor="text1"/>
          <w:kern w:val="0"/>
          <w:sz w:val="24"/>
          <w:szCs w:val="24"/>
          <w:highlight w:val="none"/>
          <w:shd w:val="clear" w:color="auto" w:fill="FFFFFF"/>
          <w:lang w:val="en-US" w:eastAsia="zh-CN" w:bidi="ar-SA"/>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技能要求</w:t>
      </w:r>
    </w:p>
    <w:p>
      <w:pPr>
        <w:spacing w:line="220" w:lineRule="atLeast"/>
        <w:rPr>
          <w:rFonts w:ascii="微软雅黑" w:hAnsi="微软雅黑"/>
          <w:b/>
          <w:snapToGrid w:val="0"/>
          <w:color w:val="000000" w:themeColor="text1"/>
          <w:sz w:val="28"/>
          <w:szCs w:val="28"/>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行李安检岗工作人员，能熟练识别违禁物品，必须经专业安检机构培训并考试合格后上岗，要有培训记录和考试合格上岗证明。</w:t>
      </w:r>
    </w:p>
    <w:p>
      <w:pPr>
        <w:pStyle w:val="5"/>
        <w:rPr>
          <w:color w:val="000000" w:themeColor="text1"/>
          <w14:textFill>
            <w14:solidFill>
              <w14:schemeClr w14:val="tx1"/>
            </w14:solidFill>
          </w14:textFill>
        </w:rPr>
      </w:pPr>
      <w:bookmarkStart w:id="413" w:name="_Toc505952924"/>
      <w:bookmarkStart w:id="414" w:name="_Toc482390686"/>
      <w:bookmarkStart w:id="415" w:name="_Toc482390559"/>
      <w:bookmarkStart w:id="416" w:name="_Toc484129885"/>
      <w:bookmarkStart w:id="417" w:name="_Toc4841"/>
      <w:bookmarkStart w:id="418" w:name="_Toc522293544"/>
      <w:bookmarkStart w:id="419" w:name="_Toc16027"/>
      <w:bookmarkStart w:id="420" w:name="_Toc4898"/>
      <w:bookmarkStart w:id="421" w:name="_Toc18484"/>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5"/>
        <w:rPr>
          <w:color w:val="000000" w:themeColor="text1"/>
          <w14:textFill>
            <w14:solidFill>
              <w14:schemeClr w14:val="tx1"/>
            </w14:solidFill>
          </w14:textFill>
        </w:rPr>
      </w:pPr>
      <w:bookmarkStart w:id="422" w:name="_Toc10667"/>
      <w:r>
        <w:rPr>
          <w:rFonts w:hint="eastAsia"/>
          <w:color w:val="000000" w:themeColor="text1"/>
          <w14:textFill>
            <w14:solidFill>
              <w14:schemeClr w14:val="tx1"/>
            </w14:solidFill>
          </w14:textFill>
        </w:rPr>
        <w:t xml:space="preserve">第六章  </w:t>
      </w:r>
      <w:bookmarkEnd w:id="413"/>
      <w:bookmarkEnd w:id="414"/>
      <w:bookmarkEnd w:id="415"/>
      <w:bookmarkEnd w:id="416"/>
      <w:r>
        <w:rPr>
          <w:rFonts w:hint="eastAsia"/>
          <w:color w:val="000000" w:themeColor="text1"/>
          <w14:textFill>
            <w14:solidFill>
              <w14:schemeClr w14:val="tx1"/>
            </w14:solidFill>
          </w14:textFill>
        </w:rPr>
        <w:t>投标文件格式</w:t>
      </w:r>
      <w:bookmarkEnd w:id="417"/>
      <w:bookmarkEnd w:id="418"/>
      <w:bookmarkEnd w:id="419"/>
      <w:bookmarkEnd w:id="420"/>
      <w:bookmarkEnd w:id="421"/>
      <w:bookmarkEnd w:id="422"/>
    </w:p>
    <w:p>
      <w:pPr>
        <w:rPr>
          <w:rFonts w:ascii="宋体" w:hAnsi="宋体" w:cs="宋体"/>
          <w:color w:val="000000" w:themeColor="text1"/>
          <w14:textFill>
            <w14:solidFill>
              <w14:schemeClr w14:val="tx1"/>
            </w14:solidFill>
          </w14:textFill>
        </w:rPr>
      </w:pPr>
    </w:p>
    <w:p>
      <w:pPr>
        <w:rPr>
          <w:rFonts w:ascii="宋体" w:hAnsi="宋体" w:cs="宋体"/>
          <w:color w:val="000000" w:themeColor="text1"/>
          <w:bdr w:val="single" w:color="auto" w:sz="4" w:space="0"/>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jc w:val="center"/>
        <w:outlineLvl w:val="0"/>
        <w:rPr>
          <w:rFonts w:ascii="宋体" w:hAnsi="宋体" w:cs="宋体"/>
          <w:color w:val="000000" w:themeColor="text1"/>
          <w:sz w:val="32"/>
          <w:szCs w:val="32"/>
          <w14:textFill>
            <w14:solidFill>
              <w14:schemeClr w14:val="tx1"/>
            </w14:solidFill>
          </w14:textFill>
        </w:rPr>
      </w:pPr>
      <w:bookmarkStart w:id="423" w:name="_Toc501"/>
      <w:bookmarkStart w:id="424" w:name="_Toc24835"/>
      <w:bookmarkStart w:id="425" w:name="_Toc27712"/>
      <w:bookmarkStart w:id="426" w:name="_Toc9651"/>
      <w:r>
        <w:rPr>
          <w:rFonts w:hint="eastAsia" w:ascii="宋体" w:hAnsi="宋体" w:cs="宋体"/>
          <w:color w:val="000000" w:themeColor="text1"/>
          <w:sz w:val="32"/>
          <w:szCs w:val="32"/>
          <w14:textFill>
            <w14:solidFill>
              <w14:schemeClr w14:val="tx1"/>
            </w14:solidFill>
          </w14:textFill>
        </w:rPr>
        <w:t>____________________（项目名称）</w:t>
      </w:r>
      <w:bookmarkEnd w:id="423"/>
      <w:bookmarkEnd w:id="424"/>
      <w:bookmarkEnd w:id="425"/>
      <w:bookmarkEnd w:id="426"/>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jc w:val="center"/>
        <w:outlineLvl w:val="0"/>
        <w:rPr>
          <w:rFonts w:ascii="宋体" w:hAnsi="宋体" w:cs="宋体"/>
          <w:color w:val="000000" w:themeColor="text1"/>
          <w:sz w:val="72"/>
          <w:szCs w:val="72"/>
          <w14:textFill>
            <w14:solidFill>
              <w14:schemeClr w14:val="tx1"/>
            </w14:solidFill>
          </w14:textFill>
        </w:rPr>
      </w:pPr>
      <w:bookmarkStart w:id="427" w:name="_Toc9855"/>
      <w:bookmarkStart w:id="428" w:name="_Toc14964"/>
      <w:bookmarkStart w:id="429" w:name="_Toc10822"/>
      <w:bookmarkStart w:id="430" w:name="_Toc3921"/>
      <w:r>
        <w:rPr>
          <w:rFonts w:hint="eastAsia" w:ascii="宋体" w:hAnsi="宋体" w:cs="宋体"/>
          <w:color w:val="000000" w:themeColor="text1"/>
          <w:sz w:val="72"/>
          <w:szCs w:val="72"/>
          <w14:textFill>
            <w14:solidFill>
              <w14:schemeClr w14:val="tx1"/>
            </w14:solidFill>
          </w14:textFill>
        </w:rPr>
        <w:t>投   标  文  件</w:t>
      </w:r>
      <w:bookmarkEnd w:id="427"/>
      <w:bookmarkEnd w:id="428"/>
      <w:bookmarkEnd w:id="429"/>
      <w:bookmarkEnd w:id="430"/>
    </w:p>
    <w:p>
      <w:pPr>
        <w:pStyle w:val="21"/>
        <w:ind w:firstLine="2380" w:firstLineChars="850"/>
        <w:rPr>
          <w:rFonts w:asciiTheme="minorEastAsia" w:hAnsiTheme="minorEastAsia" w:eastAsiaTheme="minorEastAsia"/>
          <w:color w:val="000000" w:themeColor="text1"/>
          <w:sz w:val="28"/>
          <w:szCs w:val="28"/>
          <w14:textFill>
            <w14:solidFill>
              <w14:schemeClr w14:val="tx1"/>
            </w14:solidFill>
          </w14:textFill>
        </w:rPr>
      </w:pPr>
    </w:p>
    <w:p>
      <w:pPr>
        <w:rPr>
          <w:rFonts w:ascii="宋体" w:hAnsi="宋体" w:cs="宋体"/>
          <w:color w:val="000000" w:themeColor="text1"/>
          <w14:textFill>
            <w14:solidFill>
              <w14:schemeClr w14:val="tx1"/>
            </w14:solidFill>
          </w14:textFill>
        </w:rPr>
      </w:pPr>
    </w:p>
    <w:p>
      <w:pPr>
        <w:ind w:firstLine="3534" w:firstLineChars="1100"/>
        <w:outlineLvl w:val="0"/>
        <w:rPr>
          <w:rFonts w:ascii="宋体" w:hAnsi="宋体" w:cs="宋体"/>
          <w:b/>
          <w:color w:val="000000" w:themeColor="text1"/>
          <w:sz w:val="32"/>
          <w:szCs w:val="32"/>
          <w14:textFill>
            <w14:solidFill>
              <w14:schemeClr w14:val="tx1"/>
            </w14:solidFill>
          </w14:textFill>
        </w:rPr>
      </w:pPr>
      <w:bookmarkStart w:id="431" w:name="_Toc18122"/>
      <w:bookmarkStart w:id="432" w:name="_Toc19195"/>
      <w:bookmarkStart w:id="433" w:name="_Toc29103"/>
      <w:bookmarkStart w:id="434" w:name="_Toc26846"/>
      <w:r>
        <w:rPr>
          <w:rFonts w:hint="eastAsia" w:ascii="宋体" w:hAnsi="宋体" w:cs="宋体"/>
          <w:b/>
          <w:color w:val="000000" w:themeColor="text1"/>
          <w:sz w:val="32"/>
          <w:szCs w:val="32"/>
          <w14:textFill>
            <w14:solidFill>
              <w14:schemeClr w14:val="tx1"/>
            </w14:solidFill>
          </w14:textFill>
        </w:rPr>
        <w:t>（正本或副本）</w:t>
      </w:r>
      <w:bookmarkEnd w:id="431"/>
      <w:bookmarkEnd w:id="432"/>
      <w:bookmarkEnd w:id="433"/>
      <w:bookmarkEnd w:id="434"/>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pStyle w:val="21"/>
        <w:ind w:firstLine="2660" w:firstLineChars="950"/>
        <w:rPr>
          <w:rFonts w:asciiTheme="minorEastAsia" w:hAnsiTheme="minorEastAsia" w:eastAsiaTheme="minorEastAsia"/>
          <w:color w:val="000000" w:themeColor="text1"/>
          <w:sz w:val="28"/>
          <w:szCs w:val="28"/>
          <w14:textFill>
            <w14:solidFill>
              <w14:schemeClr w14:val="tx1"/>
            </w14:solidFill>
          </w14:textFill>
        </w:rPr>
      </w:pPr>
    </w:p>
    <w:p>
      <w:pPr>
        <w:pStyle w:val="21"/>
        <w:ind w:firstLine="2660" w:firstLineChars="950"/>
        <w:rPr>
          <w:rFonts w:asciiTheme="minorEastAsia" w:hAnsiTheme="minorEastAsia" w:eastAsiaTheme="minorEastAsia"/>
          <w:color w:val="000000" w:themeColor="text1"/>
          <w:sz w:val="28"/>
          <w:szCs w:val="28"/>
          <w14:textFill>
            <w14:solidFill>
              <w14:schemeClr w14:val="tx1"/>
            </w14:solidFill>
          </w14:textFill>
        </w:rPr>
      </w:pPr>
    </w:p>
    <w:p>
      <w:pPr>
        <w:pStyle w:val="21"/>
        <w:ind w:firstLine="2660" w:firstLineChars="950"/>
        <w:rPr>
          <w:rFonts w:asciiTheme="minorEastAsia" w:hAnsiTheme="minorEastAsia" w:eastAsiaTheme="minorEastAsia"/>
          <w:color w:val="000000" w:themeColor="text1"/>
          <w:sz w:val="28"/>
          <w:szCs w:val="28"/>
          <w14:textFill>
            <w14:solidFill>
              <w14:schemeClr w14:val="tx1"/>
            </w14:solidFill>
          </w14:textFill>
        </w:rPr>
      </w:pPr>
    </w:p>
    <w:p>
      <w:pPr>
        <w:pStyle w:val="21"/>
        <w:ind w:firstLine="2660" w:firstLineChars="950"/>
        <w:rPr>
          <w:rFonts w:asciiTheme="minorEastAsia" w:hAnsiTheme="minorEastAsia" w:eastAsiaTheme="minorEastAsia"/>
          <w:color w:val="000000" w:themeColor="text1"/>
          <w:sz w:val="28"/>
          <w:szCs w:val="28"/>
          <w14:textFill>
            <w14:solidFill>
              <w14:schemeClr w14:val="tx1"/>
            </w14:solidFill>
          </w14:textFill>
        </w:rPr>
      </w:pPr>
    </w:p>
    <w:p>
      <w:pPr>
        <w:pStyle w:val="21"/>
        <w:ind w:firstLine="2660" w:firstLineChars="950"/>
        <w:rPr>
          <w:rFonts w:asciiTheme="minorEastAsia" w:hAnsiTheme="minorEastAsia" w:eastAsiaTheme="minorEastAsia"/>
          <w:color w:val="000000" w:themeColor="text1"/>
          <w:sz w:val="28"/>
          <w:szCs w:val="28"/>
          <w14:textFill>
            <w14:solidFill>
              <w14:schemeClr w14:val="tx1"/>
            </w14:solidFill>
          </w14:textFill>
        </w:rPr>
      </w:pPr>
    </w:p>
    <w:p>
      <w:pPr>
        <w:pStyle w:val="21"/>
        <w:ind w:firstLine="2660" w:firstLineChars="950"/>
        <w:rPr>
          <w:rFonts w:asciiTheme="minorEastAsia" w:hAnsiTheme="minorEastAsia" w:eastAsiaTheme="minorEastAsia"/>
          <w:color w:val="000000" w:themeColor="text1"/>
          <w:sz w:val="28"/>
          <w:szCs w:val="28"/>
          <w14:textFill>
            <w14:solidFill>
              <w14:schemeClr w14:val="tx1"/>
            </w14:solidFill>
          </w14:textFill>
        </w:rPr>
      </w:pPr>
    </w:p>
    <w:p>
      <w:pPr>
        <w:pStyle w:val="21"/>
        <w:ind w:firstLine="2660" w:firstLineChars="950"/>
        <w:rPr>
          <w:rFonts w:asciiTheme="minorEastAsia" w:hAnsiTheme="minorEastAsia" w:eastAsiaTheme="minorEastAsia"/>
          <w:color w:val="000000" w:themeColor="text1"/>
          <w:sz w:val="28"/>
          <w:szCs w:val="28"/>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ind w:firstLine="1292" w:firstLineChars="404"/>
        <w:jc w:val="left"/>
        <w:outlineLvl w:val="0"/>
        <w:rPr>
          <w:rFonts w:ascii="宋体" w:hAnsi="宋体" w:cs="宋体"/>
          <w:color w:val="000000" w:themeColor="text1"/>
          <w:sz w:val="32"/>
          <w:szCs w:val="32"/>
          <w14:textFill>
            <w14:solidFill>
              <w14:schemeClr w14:val="tx1"/>
            </w14:solidFill>
          </w14:textFill>
        </w:rPr>
      </w:pPr>
      <w:bookmarkStart w:id="435" w:name="_Toc24955"/>
      <w:bookmarkStart w:id="436" w:name="_Toc8934"/>
      <w:bookmarkStart w:id="437" w:name="_Toc4195"/>
      <w:bookmarkStart w:id="438" w:name="_Toc21571"/>
      <w:r>
        <w:rPr>
          <w:rFonts w:hint="eastAsia" w:ascii="宋体" w:hAnsi="宋体" w:cs="宋体"/>
          <w:color w:val="000000" w:themeColor="text1"/>
          <w:sz w:val="32"/>
          <w:szCs w:val="32"/>
          <w14:textFill>
            <w14:solidFill>
              <w14:schemeClr w14:val="tx1"/>
            </w14:solidFill>
          </w14:textFill>
        </w:rPr>
        <w:t>投 标 人：</w:t>
      </w:r>
      <w:r>
        <w:rPr>
          <w:rFonts w:hint="eastAsia" w:ascii="宋体" w:hAnsi="宋体" w:cs="宋体"/>
          <w:color w:val="000000" w:themeColor="text1"/>
          <w:sz w:val="32"/>
          <w:szCs w:val="32"/>
          <w:u w:val="single"/>
          <w14:textFill>
            <w14:solidFill>
              <w14:schemeClr w14:val="tx1"/>
            </w14:solidFill>
          </w14:textFill>
        </w:rPr>
        <w:t xml:space="preserve">                          </w:t>
      </w:r>
      <w:r>
        <w:rPr>
          <w:rFonts w:hint="eastAsia" w:ascii="宋体" w:hAnsi="宋体" w:cs="宋体"/>
          <w:color w:val="000000" w:themeColor="text1"/>
          <w:sz w:val="32"/>
          <w:szCs w:val="32"/>
          <w14:textFill>
            <w14:solidFill>
              <w14:schemeClr w14:val="tx1"/>
            </w14:solidFill>
          </w14:textFill>
        </w:rPr>
        <w:t>（盖单位章）</w:t>
      </w:r>
      <w:bookmarkEnd w:id="435"/>
      <w:bookmarkEnd w:id="436"/>
      <w:bookmarkEnd w:id="437"/>
      <w:bookmarkEnd w:id="438"/>
    </w:p>
    <w:p>
      <w:pPr>
        <w:ind w:firstLine="640"/>
        <w:rPr>
          <w:rFonts w:ascii="宋体" w:hAnsi="宋体" w:cs="宋体"/>
          <w:color w:val="000000" w:themeColor="text1"/>
          <w:sz w:val="32"/>
          <w:szCs w:val="32"/>
          <w14:textFill>
            <w14:solidFill>
              <w14:schemeClr w14:val="tx1"/>
            </w14:solidFill>
          </w14:textFill>
        </w:rPr>
      </w:pPr>
    </w:p>
    <w:p>
      <w:pPr>
        <w:ind w:firstLine="1292" w:firstLineChars="404"/>
        <w:outlineLvl w:val="0"/>
        <w:rPr>
          <w:rFonts w:ascii="宋体" w:hAnsi="宋体" w:cs="宋体"/>
          <w:color w:val="000000" w:themeColor="text1"/>
          <w:sz w:val="32"/>
          <w:szCs w:val="32"/>
          <w14:textFill>
            <w14:solidFill>
              <w14:schemeClr w14:val="tx1"/>
            </w14:solidFill>
          </w14:textFill>
        </w:rPr>
      </w:pPr>
      <w:bookmarkStart w:id="439" w:name="_Toc16197"/>
      <w:bookmarkStart w:id="440" w:name="_Toc24410"/>
      <w:bookmarkStart w:id="441" w:name="_Toc32253"/>
      <w:bookmarkStart w:id="442" w:name="_Toc21032"/>
      <w:r>
        <w:rPr>
          <w:rFonts w:hint="eastAsia" w:ascii="宋体" w:hAnsi="宋体" w:cs="宋体"/>
          <w:color w:val="000000" w:themeColor="text1"/>
          <w:sz w:val="32"/>
          <w:szCs w:val="32"/>
          <w14:textFill>
            <w14:solidFill>
              <w14:schemeClr w14:val="tx1"/>
            </w14:solidFill>
          </w14:textFill>
        </w:rPr>
        <w:t>法定代表人或授权委托人：</w:t>
      </w:r>
      <w:r>
        <w:rPr>
          <w:rFonts w:hint="eastAsia" w:ascii="宋体" w:hAnsi="宋体" w:cs="宋体"/>
          <w:color w:val="000000" w:themeColor="text1"/>
          <w:sz w:val="32"/>
          <w:szCs w:val="32"/>
          <w:u w:val="single"/>
          <w14:textFill>
            <w14:solidFill>
              <w14:schemeClr w14:val="tx1"/>
            </w14:solidFill>
          </w14:textFill>
        </w:rPr>
        <w:t xml:space="preserve">            </w:t>
      </w:r>
      <w:r>
        <w:rPr>
          <w:rFonts w:hint="eastAsia" w:ascii="宋体" w:hAnsi="宋体" w:cs="宋体"/>
          <w:color w:val="000000" w:themeColor="text1"/>
          <w:sz w:val="32"/>
          <w:szCs w:val="32"/>
          <w14:textFill>
            <w14:solidFill>
              <w14:schemeClr w14:val="tx1"/>
            </w14:solidFill>
          </w14:textFill>
        </w:rPr>
        <w:t>（签    章）</w:t>
      </w:r>
      <w:bookmarkEnd w:id="439"/>
      <w:bookmarkEnd w:id="440"/>
      <w:bookmarkEnd w:id="441"/>
      <w:bookmarkEnd w:id="442"/>
    </w:p>
    <w:p>
      <w:pPr>
        <w:ind w:firstLine="640"/>
        <w:rPr>
          <w:rFonts w:ascii="宋体" w:hAnsi="宋体" w:cs="宋体"/>
          <w:color w:val="000000" w:themeColor="text1"/>
          <w:sz w:val="32"/>
          <w:szCs w:val="32"/>
          <w14:textFill>
            <w14:solidFill>
              <w14:schemeClr w14:val="tx1"/>
            </w14:solidFill>
          </w14:textFill>
        </w:rPr>
      </w:pPr>
    </w:p>
    <w:p>
      <w:pPr>
        <w:ind w:firstLine="3526" w:firstLineChars="1102"/>
        <w:outlineLvl w:val="0"/>
        <w:rPr>
          <w:rFonts w:ascii="宋体" w:hAnsi="宋体" w:cs="宋体"/>
          <w:color w:val="000000" w:themeColor="text1"/>
          <w:sz w:val="32"/>
          <w:szCs w:val="32"/>
          <w14:textFill>
            <w14:solidFill>
              <w14:schemeClr w14:val="tx1"/>
            </w14:solidFill>
          </w14:textFill>
        </w:rPr>
      </w:pPr>
      <w:bookmarkStart w:id="443" w:name="_Toc24674"/>
      <w:bookmarkStart w:id="444" w:name="_Toc5498"/>
      <w:bookmarkStart w:id="445" w:name="_Toc18096"/>
      <w:bookmarkStart w:id="446" w:name="_Toc14191"/>
      <w:r>
        <w:rPr>
          <w:rFonts w:hint="eastAsia" w:ascii="宋体" w:hAnsi="宋体" w:cs="宋体"/>
          <w:color w:val="000000" w:themeColor="text1"/>
          <w:sz w:val="32"/>
          <w:szCs w:val="32"/>
          <w14:textFill>
            <w14:solidFill>
              <w14:schemeClr w14:val="tx1"/>
            </w14:solidFill>
          </w14:textFill>
        </w:rPr>
        <w:t>日  期： 年   月  日</w:t>
      </w:r>
      <w:bookmarkEnd w:id="443"/>
      <w:bookmarkEnd w:id="444"/>
      <w:bookmarkEnd w:id="445"/>
      <w:bookmarkEnd w:id="446"/>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pStyle w:val="6"/>
        <w:spacing w:line="500" w:lineRule="exact"/>
        <w:rPr>
          <w:rFonts w:cs="宋体"/>
          <w:color w:val="000000" w:themeColor="text1"/>
          <w14:textFill>
            <w14:solidFill>
              <w14:schemeClr w14:val="tx1"/>
            </w14:solidFill>
          </w14:textFill>
        </w:rPr>
      </w:pPr>
      <w:bookmarkStart w:id="447" w:name="_Toc522293545"/>
      <w:bookmarkStart w:id="448" w:name="_Toc19033"/>
      <w:bookmarkStart w:id="449" w:name="_Toc1555"/>
      <w:bookmarkStart w:id="450" w:name="_Toc9728"/>
      <w:bookmarkStart w:id="451" w:name="_Toc12428"/>
      <w:bookmarkStart w:id="452" w:name="_Toc18603118"/>
      <w:bookmarkStart w:id="453" w:name="_Toc9762"/>
      <w:r>
        <w:rPr>
          <w:rFonts w:hint="eastAsia" w:cs="宋体"/>
          <w:color w:val="000000" w:themeColor="text1"/>
          <w14:textFill>
            <w14:solidFill>
              <w14:schemeClr w14:val="tx1"/>
            </w14:solidFill>
          </w14:textFill>
        </w:rPr>
        <w:t>目    录</w:t>
      </w:r>
      <w:bookmarkEnd w:id="447"/>
      <w:bookmarkEnd w:id="448"/>
      <w:bookmarkEnd w:id="449"/>
      <w:bookmarkEnd w:id="450"/>
      <w:bookmarkEnd w:id="451"/>
      <w:bookmarkEnd w:id="452"/>
      <w:bookmarkEnd w:id="453"/>
    </w:p>
    <w:p>
      <w:pPr>
        <w:pStyle w:val="69"/>
        <w:spacing w:line="500" w:lineRule="exact"/>
        <w:ind w:firstLine="560" w:firstLineChars="200"/>
        <w:jc w:val="left"/>
        <w:outlineLvl w:val="9"/>
        <w:rPr>
          <w:rFonts w:ascii="宋体" w:hAnsi="宋体"/>
          <w:b w:val="0"/>
          <w:bCs w:val="0"/>
          <w:color w:val="000000" w:themeColor="text1"/>
          <w14:textFill>
            <w14:solidFill>
              <w14:schemeClr w14:val="tx1"/>
            </w14:solidFill>
          </w14:textFill>
        </w:rPr>
      </w:pPr>
      <w:bookmarkStart w:id="454" w:name="_Toc3105"/>
      <w:r>
        <w:rPr>
          <w:rFonts w:hint="eastAsia" w:ascii="宋体" w:hAnsi="宋体"/>
          <w:b w:val="0"/>
          <w:bCs w:val="0"/>
          <w:color w:val="000000" w:themeColor="text1"/>
          <w14:textFill>
            <w14:solidFill>
              <w14:schemeClr w14:val="tx1"/>
            </w14:solidFill>
          </w14:textFill>
        </w:rPr>
        <w:t>1、投标函；</w:t>
      </w:r>
      <w:bookmarkEnd w:id="454"/>
    </w:p>
    <w:p>
      <w:pPr>
        <w:pStyle w:val="69"/>
        <w:spacing w:line="500" w:lineRule="exact"/>
        <w:ind w:firstLine="560" w:firstLineChars="200"/>
        <w:jc w:val="left"/>
        <w:outlineLvl w:val="9"/>
        <w:rPr>
          <w:rFonts w:ascii="宋体" w:hAnsi="宋体"/>
          <w:b w:val="0"/>
          <w:bCs w:val="0"/>
          <w:color w:val="000000" w:themeColor="text1"/>
          <w14:textFill>
            <w14:solidFill>
              <w14:schemeClr w14:val="tx1"/>
            </w14:solidFill>
          </w14:textFill>
        </w:rPr>
      </w:pPr>
      <w:bookmarkStart w:id="455" w:name="_Toc23242"/>
      <w:r>
        <w:rPr>
          <w:rFonts w:hint="eastAsia" w:ascii="宋体" w:hAnsi="宋体"/>
          <w:b w:val="0"/>
          <w:bCs w:val="0"/>
          <w:color w:val="000000" w:themeColor="text1"/>
          <w14:textFill>
            <w14:solidFill>
              <w14:schemeClr w14:val="tx1"/>
            </w14:solidFill>
          </w14:textFill>
        </w:rPr>
        <w:t>2、法定代表人资格证明文件；</w:t>
      </w:r>
      <w:bookmarkEnd w:id="455"/>
    </w:p>
    <w:p>
      <w:pPr>
        <w:pStyle w:val="69"/>
        <w:spacing w:line="500" w:lineRule="exact"/>
        <w:ind w:firstLine="560" w:firstLineChars="200"/>
        <w:jc w:val="left"/>
        <w:outlineLvl w:val="9"/>
        <w:rPr>
          <w:rFonts w:ascii="宋体" w:hAnsi="宋体"/>
          <w:b w:val="0"/>
          <w:bCs w:val="0"/>
          <w:color w:val="000000" w:themeColor="text1"/>
          <w14:textFill>
            <w14:solidFill>
              <w14:schemeClr w14:val="tx1"/>
            </w14:solidFill>
          </w14:textFill>
        </w:rPr>
      </w:pPr>
      <w:bookmarkStart w:id="456" w:name="_Toc26642"/>
      <w:r>
        <w:rPr>
          <w:rFonts w:hint="eastAsia" w:ascii="宋体" w:hAnsi="宋体"/>
          <w:b w:val="0"/>
          <w:bCs w:val="0"/>
          <w:color w:val="000000" w:themeColor="text1"/>
          <w14:textFill>
            <w14:solidFill>
              <w14:schemeClr w14:val="tx1"/>
            </w14:solidFill>
          </w14:textFill>
        </w:rPr>
        <w:t>3、法定代表人授权书；</w:t>
      </w:r>
      <w:bookmarkEnd w:id="456"/>
    </w:p>
    <w:p>
      <w:pPr>
        <w:pStyle w:val="69"/>
        <w:spacing w:line="500" w:lineRule="exact"/>
        <w:ind w:firstLine="560" w:firstLineChars="200"/>
        <w:jc w:val="left"/>
        <w:outlineLvl w:val="9"/>
        <w:rPr>
          <w:rFonts w:ascii="宋体" w:hAnsi="宋体"/>
          <w:b w:val="0"/>
          <w:bCs w:val="0"/>
          <w:color w:val="000000" w:themeColor="text1"/>
          <w14:textFill>
            <w14:solidFill>
              <w14:schemeClr w14:val="tx1"/>
            </w14:solidFill>
          </w14:textFill>
        </w:rPr>
      </w:pPr>
      <w:bookmarkStart w:id="457" w:name="_Toc8935"/>
      <w:r>
        <w:rPr>
          <w:rFonts w:hint="eastAsia" w:ascii="宋体" w:hAnsi="宋体"/>
          <w:b w:val="0"/>
          <w:bCs w:val="0"/>
          <w:color w:val="000000" w:themeColor="text1"/>
          <w14:textFill>
            <w14:solidFill>
              <w14:schemeClr w14:val="tx1"/>
            </w14:solidFill>
          </w14:textFill>
        </w:rPr>
        <w:t>4、投标人基本情况；</w:t>
      </w:r>
      <w:bookmarkEnd w:id="457"/>
    </w:p>
    <w:p>
      <w:pPr>
        <w:pStyle w:val="69"/>
        <w:spacing w:line="500" w:lineRule="exact"/>
        <w:ind w:firstLine="560" w:firstLineChars="200"/>
        <w:jc w:val="left"/>
        <w:outlineLvl w:val="9"/>
        <w:rPr>
          <w:rFonts w:ascii="宋体" w:hAnsi="宋体"/>
          <w:b w:val="0"/>
          <w:bCs w:val="0"/>
          <w:color w:val="000000" w:themeColor="text1"/>
          <w14:textFill>
            <w14:solidFill>
              <w14:schemeClr w14:val="tx1"/>
            </w14:solidFill>
          </w14:textFill>
        </w:rPr>
      </w:pPr>
      <w:bookmarkStart w:id="458" w:name="_Toc7951"/>
      <w:r>
        <w:rPr>
          <w:rFonts w:hint="eastAsia" w:ascii="宋体" w:hAnsi="宋体"/>
          <w:b w:val="0"/>
          <w:bCs w:val="0"/>
          <w:color w:val="000000" w:themeColor="text1"/>
          <w14:textFill>
            <w14:solidFill>
              <w14:schemeClr w14:val="tx1"/>
            </w14:solidFill>
          </w14:textFill>
        </w:rPr>
        <w:t>5、对照资格审查条件要求提供证明材料复印件加盖单位公章；</w:t>
      </w:r>
      <w:bookmarkEnd w:id="458"/>
    </w:p>
    <w:p>
      <w:pPr>
        <w:pStyle w:val="69"/>
        <w:spacing w:line="500" w:lineRule="exact"/>
        <w:ind w:firstLine="560" w:firstLineChars="200"/>
        <w:jc w:val="left"/>
        <w:outlineLvl w:val="9"/>
        <w:rPr>
          <w:rFonts w:ascii="宋体" w:hAnsi="宋体"/>
          <w:b w:val="0"/>
          <w:bCs w:val="0"/>
          <w:color w:val="000000" w:themeColor="text1"/>
          <w14:textFill>
            <w14:solidFill>
              <w14:schemeClr w14:val="tx1"/>
            </w14:solidFill>
          </w14:textFill>
        </w:rPr>
      </w:pPr>
      <w:bookmarkStart w:id="459" w:name="_Toc26255"/>
      <w:r>
        <w:rPr>
          <w:rFonts w:hint="eastAsia" w:ascii="宋体" w:hAnsi="宋体"/>
          <w:b w:val="0"/>
          <w:bCs w:val="0"/>
          <w:color w:val="000000" w:themeColor="text1"/>
          <w14:textFill>
            <w14:solidFill>
              <w14:schemeClr w14:val="tx1"/>
            </w14:solidFill>
          </w14:textFill>
        </w:rPr>
        <w:t>6、投标人类似项目业绩汇总表；</w:t>
      </w:r>
      <w:bookmarkEnd w:id="459"/>
    </w:p>
    <w:p>
      <w:pPr>
        <w:pStyle w:val="69"/>
        <w:spacing w:line="500" w:lineRule="exact"/>
        <w:ind w:firstLine="560" w:firstLineChars="200"/>
        <w:jc w:val="left"/>
        <w:outlineLvl w:val="9"/>
        <w:rPr>
          <w:rFonts w:ascii="宋体" w:hAnsi="宋体"/>
          <w:b w:val="0"/>
          <w:bCs w:val="0"/>
          <w:color w:val="000000" w:themeColor="text1"/>
          <w14:textFill>
            <w14:solidFill>
              <w14:schemeClr w14:val="tx1"/>
            </w14:solidFill>
          </w14:textFill>
        </w:rPr>
      </w:pPr>
      <w:bookmarkStart w:id="460" w:name="_Toc1445"/>
      <w:r>
        <w:rPr>
          <w:rFonts w:hint="eastAsia" w:ascii="宋体" w:hAnsi="宋体"/>
          <w:b w:val="0"/>
          <w:bCs w:val="0"/>
          <w:color w:val="000000" w:themeColor="text1"/>
          <w:lang w:val="en-US" w:eastAsia="zh-CN"/>
          <w14:textFill>
            <w14:solidFill>
              <w14:schemeClr w14:val="tx1"/>
            </w14:solidFill>
          </w14:textFill>
        </w:rPr>
        <w:t>7</w:t>
      </w:r>
      <w:r>
        <w:rPr>
          <w:rFonts w:hint="eastAsia" w:ascii="宋体" w:hAnsi="宋体"/>
          <w:b w:val="0"/>
          <w:bCs w:val="0"/>
          <w:color w:val="000000" w:themeColor="text1"/>
          <w14:textFill>
            <w14:solidFill>
              <w14:schemeClr w14:val="tx1"/>
            </w14:solidFill>
          </w14:textFill>
        </w:rPr>
        <w:t>、项目负责人简历表；</w:t>
      </w:r>
      <w:bookmarkEnd w:id="460"/>
    </w:p>
    <w:p>
      <w:pPr>
        <w:pStyle w:val="69"/>
        <w:spacing w:line="500" w:lineRule="exact"/>
        <w:ind w:firstLine="560" w:firstLineChars="200"/>
        <w:jc w:val="left"/>
        <w:outlineLvl w:val="9"/>
        <w:rPr>
          <w:rFonts w:ascii="宋体" w:hAnsi="宋体"/>
          <w:b w:val="0"/>
          <w:bCs w:val="0"/>
          <w:color w:val="000000" w:themeColor="text1"/>
          <w14:textFill>
            <w14:solidFill>
              <w14:schemeClr w14:val="tx1"/>
            </w14:solidFill>
          </w14:textFill>
        </w:rPr>
      </w:pPr>
      <w:bookmarkStart w:id="461" w:name="_Toc18310"/>
      <w:r>
        <w:rPr>
          <w:rFonts w:hint="eastAsia" w:ascii="宋体" w:hAnsi="宋体"/>
          <w:b w:val="0"/>
          <w:bCs w:val="0"/>
          <w:color w:val="000000" w:themeColor="text1"/>
          <w:lang w:val="en-US" w:eastAsia="zh-CN"/>
          <w14:textFill>
            <w14:solidFill>
              <w14:schemeClr w14:val="tx1"/>
            </w14:solidFill>
          </w14:textFill>
        </w:rPr>
        <w:t>8</w:t>
      </w:r>
      <w:r>
        <w:rPr>
          <w:rFonts w:hint="eastAsia" w:ascii="宋体" w:hAnsi="宋体"/>
          <w:b w:val="0"/>
          <w:bCs w:val="0"/>
          <w:color w:val="000000" w:themeColor="text1"/>
          <w14:textFill>
            <w14:solidFill>
              <w14:schemeClr w14:val="tx1"/>
            </w14:solidFill>
          </w14:textFill>
        </w:rPr>
        <w:t>、人员配备情况表；</w:t>
      </w:r>
      <w:bookmarkEnd w:id="461"/>
    </w:p>
    <w:p>
      <w:pPr>
        <w:pStyle w:val="69"/>
        <w:spacing w:line="500" w:lineRule="exact"/>
        <w:ind w:firstLine="560" w:firstLineChars="200"/>
        <w:jc w:val="left"/>
        <w:outlineLvl w:val="9"/>
        <w:rPr>
          <w:rFonts w:asciiTheme="minorEastAsia" w:hAnsiTheme="minorEastAsia" w:eastAsiaTheme="minorEastAsia" w:cstheme="minorEastAsia"/>
          <w:color w:val="000000" w:themeColor="text1"/>
          <w14:textFill>
            <w14:solidFill>
              <w14:schemeClr w14:val="tx1"/>
            </w14:solidFill>
          </w14:textFill>
        </w:rPr>
      </w:pPr>
      <w:bookmarkStart w:id="462" w:name="_Toc28507"/>
      <w:r>
        <w:rPr>
          <w:rFonts w:hint="eastAsia" w:ascii="宋体" w:hAnsi="宋体"/>
          <w:b w:val="0"/>
          <w:bCs w:val="0"/>
          <w:color w:val="000000" w:themeColor="text1"/>
          <w:lang w:val="en-US" w:eastAsia="zh-CN"/>
          <w14:textFill>
            <w14:solidFill>
              <w14:schemeClr w14:val="tx1"/>
            </w14:solidFill>
          </w14:textFill>
        </w:rPr>
        <w:t>9</w:t>
      </w:r>
      <w:r>
        <w:rPr>
          <w:rFonts w:hint="eastAsia" w:ascii="宋体" w:hAnsi="宋体"/>
          <w:b w:val="0"/>
          <w:bCs w:val="0"/>
          <w:color w:val="000000" w:themeColor="text1"/>
          <w14:textFill>
            <w14:solidFill>
              <w14:schemeClr w14:val="tx1"/>
            </w14:solidFill>
          </w14:textFill>
        </w:rPr>
        <w:t>、投标人认为需要提供的其他材料。</w:t>
      </w:r>
      <w:r>
        <w:rPr>
          <w:rFonts w:ascii="宋体" w:hAnsi="宋体"/>
          <w:b w:val="0"/>
          <w:bCs w:val="0"/>
          <w:color w:val="000000" w:themeColor="text1"/>
          <w14:textFill>
            <w14:solidFill>
              <w14:schemeClr w14:val="tx1"/>
            </w14:solidFill>
          </w14:textFill>
        </w:rPr>
        <w:br w:type="page"/>
      </w:r>
      <w:bookmarkStart w:id="463" w:name="_Toc28844"/>
      <w:r>
        <w:rPr>
          <w:rFonts w:hint="eastAsia" w:ascii="宋体" w:hAnsi="宋体"/>
          <w:b w:val="0"/>
          <w:bCs w:val="0"/>
          <w:color w:val="000000" w:themeColor="text1"/>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开标一览表</w:t>
      </w:r>
      <w:bookmarkEnd w:id="462"/>
      <w:bookmarkEnd w:id="463"/>
    </w:p>
    <w:p>
      <w:pPr>
        <w:pStyle w:val="96"/>
        <w:ind w:firstLine="420"/>
        <w:rPr>
          <w:rFonts w:asciiTheme="minorEastAsia" w:hAnsiTheme="minorEastAsia" w:eastAsiaTheme="minorEastAsia" w:cstheme="minorEastAsia"/>
          <w:color w:val="000000" w:themeColor="text1"/>
          <w:sz w:val="28"/>
          <w:szCs w:val="28"/>
          <w14:textFill>
            <w14:solidFill>
              <w14:schemeClr w14:val="tx1"/>
            </w14:solidFill>
          </w14:textFill>
        </w:rPr>
      </w:pPr>
    </w:p>
    <w:p>
      <w:pPr>
        <w:pStyle w:val="108"/>
        <w:spacing w:line="500" w:lineRule="exact"/>
        <w:rPr>
          <w:rFonts w:asciiTheme="minorEastAsia" w:hAnsiTheme="minorEastAsia" w:eastAsiaTheme="minorEastAsia" w:cs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项目名称:宜昌长江三峡旅游客运有限公司门卫、安检、水陆实名制服务外包</w:t>
      </w:r>
    </w:p>
    <w:tbl>
      <w:tblPr>
        <w:tblStyle w:val="44"/>
        <w:tblW w:w="8760" w:type="dxa"/>
        <w:tblInd w:w="501"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2"/>
        <w:gridCol w:w="59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203" w:hRule="atLeast"/>
        </w:trPr>
        <w:tc>
          <w:tcPr>
            <w:tcW w:w="2812" w:type="dxa"/>
            <w:vAlign w:val="center"/>
          </w:tcPr>
          <w:p>
            <w:pPr>
              <w:pStyle w:val="108"/>
              <w:spacing w:line="360" w:lineRule="exact"/>
              <w:ind w:left="-38"/>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投标报价（元）</w:t>
            </w:r>
          </w:p>
        </w:tc>
        <w:tc>
          <w:tcPr>
            <w:tcW w:w="5948" w:type="dxa"/>
            <w:vAlign w:val="center"/>
          </w:tcPr>
          <w:p>
            <w:pPr>
              <w:pStyle w:val="108"/>
              <w:spacing w:line="360" w:lineRule="exac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     大写：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216" w:hRule="atLeast"/>
        </w:trPr>
        <w:tc>
          <w:tcPr>
            <w:tcW w:w="2812" w:type="dxa"/>
            <w:vAlign w:val="center"/>
          </w:tcPr>
          <w:p>
            <w:pPr>
              <w:pStyle w:val="108"/>
              <w:spacing w:line="360" w:lineRule="exact"/>
              <w:ind w:left="-38"/>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服务期（年）</w:t>
            </w:r>
          </w:p>
        </w:tc>
        <w:tc>
          <w:tcPr>
            <w:tcW w:w="5948" w:type="dxa"/>
            <w:vAlign w:val="center"/>
          </w:tcPr>
          <w:p>
            <w:pPr>
              <w:pStyle w:val="108"/>
              <w:spacing w:line="360" w:lineRule="exact"/>
              <w:ind w:left="-38"/>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216" w:hRule="atLeast"/>
        </w:trPr>
        <w:tc>
          <w:tcPr>
            <w:tcW w:w="2812" w:type="dxa"/>
            <w:vAlign w:val="center"/>
          </w:tcPr>
          <w:p>
            <w:pPr>
              <w:pStyle w:val="108"/>
              <w:spacing w:line="360" w:lineRule="exact"/>
              <w:ind w:left="-38"/>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服务地点</w:t>
            </w:r>
          </w:p>
        </w:tc>
        <w:tc>
          <w:tcPr>
            <w:tcW w:w="5948" w:type="dxa"/>
            <w:vAlign w:val="center"/>
          </w:tcPr>
          <w:p>
            <w:pPr>
              <w:pStyle w:val="108"/>
              <w:spacing w:line="360" w:lineRule="exact"/>
              <w:ind w:left="-38"/>
              <w:rPr>
                <w:rFonts w:asciiTheme="minorEastAsia" w:hAnsiTheme="minorEastAsia" w:eastAsiaTheme="minorEastAsia" w:cstheme="minorEastAsia"/>
                <w:color w:val="000000" w:themeColor="text1"/>
                <w:sz w:val="28"/>
                <w:szCs w:val="28"/>
                <w14:textFill>
                  <w14:solidFill>
                    <w14:schemeClr w14:val="tx1"/>
                  </w14:solidFill>
                </w14:textFill>
              </w:rPr>
            </w:pPr>
          </w:p>
        </w:tc>
      </w:tr>
    </w:tbl>
    <w:p>
      <w:pPr>
        <w:pStyle w:val="108"/>
        <w:spacing w:line="500" w:lineRule="exact"/>
        <w:ind w:firstLine="840" w:firstLineChars="3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注：所有价格均用人民币表示。</w:t>
      </w:r>
    </w:p>
    <w:p>
      <w:pPr>
        <w:pStyle w:val="253"/>
        <w:spacing w:line="500" w:lineRule="exact"/>
        <w:ind w:firstLine="720"/>
        <w:rPr>
          <w:rFonts w:hint="eastAsia" w:ascii="宋体" w:hAnsi="宋体" w:eastAsia="宋体" w:cs="宋体"/>
          <w:color w:val="000000" w:themeColor="text1"/>
          <w:sz w:val="24"/>
          <w:szCs w:val="24"/>
          <w:highlight w:val="none"/>
          <w14:textFill>
            <w14:solidFill>
              <w14:schemeClr w14:val="tx1"/>
            </w14:solidFill>
          </w14:textFill>
        </w:rPr>
      </w:pPr>
    </w:p>
    <w:p>
      <w:pPr>
        <w:pStyle w:val="253"/>
        <w:spacing w:line="500" w:lineRule="exact"/>
        <w:ind w:firstLine="840" w:firstLineChars="300"/>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投标单位名称（签章）：</w:t>
      </w:r>
    </w:p>
    <w:p>
      <w:pPr>
        <w:pStyle w:val="253"/>
        <w:spacing w:line="500" w:lineRule="exact"/>
        <w:ind w:firstLine="840" w:firstLineChars="300"/>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法定代表人（签章）:</w:t>
      </w:r>
    </w:p>
    <w:p>
      <w:pPr>
        <w:pStyle w:val="123"/>
        <w:ind w:firstLine="840" w:firstLineChars="300"/>
        <w:rPr>
          <w:rFonts w:asciiTheme="minorEastAsia" w:hAnsiTheme="minorEastAsia" w:eastAsiaTheme="minorEastAsia" w:cstheme="minorEastAsia"/>
          <w:b w:val="0"/>
          <w:bCs w:val="0"/>
          <w:color w:val="000000" w:themeColor="text1"/>
          <w:sz w:val="28"/>
          <w:szCs w:val="28"/>
          <w14:textFill>
            <w14:solidFill>
              <w14:schemeClr w14:val="tx1"/>
            </w14:solidFill>
          </w14:textFill>
        </w:rPr>
      </w:pPr>
      <w:r>
        <w:rPr>
          <w:rFonts w:hint="eastAsia" w:ascii="宋体" w:hAnsi="宋体" w:eastAsia="宋体" w:cs="宋体"/>
          <w:b w:val="0"/>
          <w:color w:val="000000" w:themeColor="text1"/>
          <w:sz w:val="28"/>
          <w:szCs w:val="28"/>
          <w:highlight w:val="none"/>
          <w14:textFill>
            <w14:solidFill>
              <w14:schemeClr w14:val="tx1"/>
            </w14:solidFill>
          </w14:textFill>
        </w:rPr>
        <w:t>日    期：  年  月  日</w:t>
      </w:r>
      <w:r>
        <w:rPr>
          <w:rFonts w:hint="eastAsia" w:asciiTheme="minorEastAsia" w:hAnsiTheme="minorEastAsia" w:eastAsiaTheme="minorEastAsia" w:cstheme="minorEastAsia"/>
          <w:b w:val="0"/>
          <w:color w:val="000000" w:themeColor="text1"/>
          <w:sz w:val="28"/>
          <w:szCs w:val="28"/>
          <w14:textFill>
            <w14:solidFill>
              <w14:schemeClr w14:val="tx1"/>
            </w14:solidFill>
          </w14:textFill>
        </w:rPr>
        <w:t xml:space="preserve"> </w:t>
      </w:r>
    </w:p>
    <w:p>
      <w:pPr>
        <w:pStyle w:val="123"/>
        <w:outlineLvl w:val="9"/>
        <w:rPr>
          <w:rFonts w:asciiTheme="minorEastAsia" w:hAnsiTheme="minorEastAsia" w:eastAsiaTheme="minorEastAsia" w:cstheme="minorEastAsia"/>
          <w:color w:val="000000" w:themeColor="text1"/>
          <w:sz w:val="28"/>
          <w:szCs w:val="28"/>
          <w14:textFill>
            <w14:solidFill>
              <w14:schemeClr w14:val="tx1"/>
            </w14:solidFill>
          </w14:textFill>
        </w:rPr>
      </w:pPr>
    </w:p>
    <w:p>
      <w:pPr>
        <w:pStyle w:val="96"/>
        <w:rPr>
          <w:rFonts w:asciiTheme="minorEastAsia" w:hAnsiTheme="minorEastAsia" w:eastAsiaTheme="minorEastAsia" w:cstheme="minorEastAsia"/>
          <w:b/>
          <w:bCs/>
          <w:color w:val="000000" w:themeColor="text1"/>
          <w:sz w:val="28"/>
          <w:szCs w:val="28"/>
          <w14:textFill>
            <w14:solidFill>
              <w14:schemeClr w14:val="tx1"/>
            </w14:solidFill>
          </w14:textFill>
        </w:rPr>
      </w:pPr>
    </w:p>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br w:type="page"/>
      </w:r>
    </w:p>
    <w:p>
      <w:pPr>
        <w:pStyle w:val="96"/>
        <w:spacing w:line="500" w:lineRule="exact"/>
        <w:jc w:val="center"/>
        <w:outlineLvl w:val="1"/>
        <w:rPr>
          <w:rFonts w:asciiTheme="minorEastAsia" w:hAnsiTheme="minorEastAsia" w:eastAsiaTheme="minorEastAsia" w:cstheme="minorEastAsia"/>
          <w:b/>
          <w:color w:val="000000" w:themeColor="text1"/>
          <w:kern w:val="0"/>
          <w:sz w:val="28"/>
          <w:szCs w:val="28"/>
          <w14:textFill>
            <w14:solidFill>
              <w14:schemeClr w14:val="tx1"/>
            </w14:solidFill>
          </w14:textFill>
        </w:rPr>
      </w:pPr>
      <w:bookmarkStart w:id="464" w:name="_Toc16889"/>
      <w:bookmarkStart w:id="465" w:name="_Toc27388"/>
      <w:r>
        <w:rPr>
          <w:rFonts w:hint="eastAsia" w:asciiTheme="minorEastAsia" w:hAnsiTheme="minorEastAsia" w:eastAsiaTheme="minorEastAsia" w:cstheme="minorEastAsia"/>
          <w:b/>
          <w:color w:val="000000" w:themeColor="text1"/>
          <w:kern w:val="0"/>
          <w:sz w:val="28"/>
          <w:szCs w:val="28"/>
          <w14:textFill>
            <w14:solidFill>
              <w14:schemeClr w14:val="tx1"/>
            </w14:solidFill>
          </w14:textFill>
        </w:rPr>
        <w:t>1、 投 标 函</w:t>
      </w:r>
      <w:bookmarkEnd w:id="464"/>
      <w:bookmarkEnd w:id="465"/>
    </w:p>
    <w:p>
      <w:pPr>
        <w:widowControl/>
        <w:adjustRightInd w:val="0"/>
        <w:snapToGrid w:val="0"/>
        <w:spacing w:before="120" w:after="120" w:line="500" w:lineRule="exact"/>
        <w:ind w:left="1072" w:hanging="1072"/>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（代理机构名称）</w:t>
      </w:r>
      <w:r>
        <w:rPr>
          <w:rFonts w:hint="eastAsia" w:asciiTheme="minorEastAsia" w:hAnsiTheme="minorEastAsia" w:eastAsiaTheme="minorEastAsia" w:cstheme="minorEastAsia"/>
          <w:color w:val="000000" w:themeColor="text1"/>
          <w:sz w:val="28"/>
          <w:szCs w:val="28"/>
          <w14:textFill>
            <w14:solidFill>
              <w14:schemeClr w14:val="tx1"/>
            </w14:solidFill>
          </w14:textFill>
        </w:rPr>
        <w:t>：</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依据贵方 (项目名称/项目编号) 项目服务招标的投标邀请，我方代表 （姓名、职务）经正式授权并代表投标人（投标人名称、地址）提交下述投标文件一正一副</w:t>
      </w:r>
      <w:r>
        <w:rPr>
          <w:rFonts w:hint="eastAsia" w:asciiTheme="minorEastAsia" w:hAnsiTheme="minorEastAsia" w:eastAsiaTheme="minorEastAsia" w:cstheme="minorEastAsia"/>
          <w:color w:val="000000" w:themeColor="text1"/>
          <w:sz w:val="28"/>
          <w:szCs w:val="28"/>
          <w14:textFill>
            <w14:solidFill>
              <w14:schemeClr w14:val="tx1"/>
            </w14:solidFill>
          </w14:textFill>
        </w:rPr>
        <w:t>，另附电子投标文件（U盘）一份</w:t>
      </w: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w:t>
      </w:r>
    </w:p>
    <w:p>
      <w:pPr>
        <w:pStyle w:val="96"/>
        <w:numPr>
          <w:ilvl w:val="0"/>
          <w:numId w:val="5"/>
        </w:numPr>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投标函；</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2. 开标一览表；</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3. 按招标文件投标人须知和技术规格要求提供的有关文件；</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4. 资格证明文件；</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在此，我方宣布同意如下：</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1. 所附《开标一览表》中规定的应提交和交付的投标总价为（注明币种，并用文字和数字表示的投标总价）。</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2. 将按招标文件的约定履行合同责任和义务。</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3. 已详细审查全部招标文件，包括（修正或补充文件）（如果有的话），对此无异议。</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4. 本投标有效期为自开标日起共</w:t>
      </w:r>
      <w:r>
        <w:rPr>
          <w:rFonts w:hint="eastAsia" w:asciiTheme="minorEastAsia" w:hAnsiTheme="minorEastAsia" w:eastAsiaTheme="minorEastAsia" w:cstheme="minorEastAsia"/>
          <w:snapToGrid w:val="0"/>
          <w:color w:val="000000" w:themeColor="text1"/>
          <w:sz w:val="28"/>
          <w:szCs w:val="28"/>
          <w:u w:val="single"/>
          <w14:textFill>
            <w14:solidFill>
              <w14:schemeClr w14:val="tx1"/>
            </w14:solidFill>
          </w14:textFill>
        </w:rPr>
        <w:t xml:space="preserve"> 90 </w:t>
      </w: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个日历日。</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5. 同意提供按照贵方可能要求的与其投标有关的一切数据或资料。</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6. 与本投标有关的一切正式往来信函请寄：</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投标人名称：</w:t>
      </w:r>
      <w:r>
        <w:rPr>
          <w:rFonts w:hint="eastAsia" w:asciiTheme="minorEastAsia" w:hAnsiTheme="minorEastAsia" w:eastAsiaTheme="minorEastAsia" w:cstheme="minorEastAsia"/>
          <w:snapToGrid w:val="0"/>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 xml:space="preserve"> (盖章) </w:t>
      </w:r>
    </w:p>
    <w:p>
      <w:pPr>
        <w:pStyle w:val="253"/>
        <w:spacing w:line="500" w:lineRule="exact"/>
        <w:ind w:firstLine="560" w:firstLineChars="200"/>
        <w:rPr>
          <w:rFonts w:asciiTheme="minorEastAsia" w:hAnsiTheme="minorEastAsia" w:eastAsiaTheme="minorEastAsia" w:cs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法定代表人：</w:t>
      </w:r>
      <w:r>
        <w:rPr>
          <w:rFonts w:hint="eastAsia" w:asciiTheme="minorEastAsia" w:hAnsiTheme="minorEastAsia" w:eastAsiaTheme="minorEastAsia" w:cstheme="minorEastAsia"/>
          <w:snapToGrid w:val="0"/>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（签章）</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地 址：</w:t>
      </w:r>
      <w:r>
        <w:rPr>
          <w:rFonts w:hint="eastAsia" w:asciiTheme="minorEastAsia" w:hAnsiTheme="minorEastAsia" w:eastAsiaTheme="minorEastAsia" w:cstheme="minorEastAsia"/>
          <w:snapToGrid w:val="0"/>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 xml:space="preserve"> </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传 真：</w:t>
      </w:r>
      <w:r>
        <w:rPr>
          <w:rFonts w:hint="eastAsia" w:asciiTheme="minorEastAsia" w:hAnsiTheme="minorEastAsia" w:eastAsiaTheme="minorEastAsia" w:cstheme="minorEastAsia"/>
          <w:snapToGrid w:val="0"/>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 xml:space="preserve"> </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电 话：</w:t>
      </w:r>
      <w:r>
        <w:rPr>
          <w:rFonts w:hint="eastAsia" w:asciiTheme="minorEastAsia" w:hAnsiTheme="minorEastAsia" w:eastAsiaTheme="minorEastAsia" w:cstheme="minorEastAsia"/>
          <w:snapToGrid w:val="0"/>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 xml:space="preserve"> </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电子邮件：</w:t>
      </w:r>
      <w:r>
        <w:rPr>
          <w:rFonts w:hint="eastAsia" w:asciiTheme="minorEastAsia" w:hAnsiTheme="minorEastAsia" w:eastAsiaTheme="minorEastAsia" w:cstheme="minorEastAsia"/>
          <w:snapToGrid w:val="0"/>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 xml:space="preserve"> </w:t>
      </w:r>
    </w:p>
    <w:p>
      <w:pPr>
        <w:pStyle w:val="96"/>
        <w:spacing w:line="400" w:lineRule="exact"/>
        <w:ind w:firstLine="560" w:firstLineChars="200"/>
        <w:rPr>
          <w:rFonts w:asciiTheme="minorEastAsia" w:hAnsiTheme="minorEastAsia" w:eastAsiaTheme="minorEastAsia" w:cstheme="minorEastAsia"/>
          <w:snapToGrid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日期：</w:t>
      </w:r>
      <w:r>
        <w:rPr>
          <w:rFonts w:hint="eastAsia" w:asciiTheme="minorEastAsia" w:hAnsiTheme="minorEastAsia" w:eastAsiaTheme="minorEastAsia" w:cstheme="minorEastAsia"/>
          <w:snapToGrid w:val="0"/>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 xml:space="preserve"> </w:t>
      </w:r>
    </w:p>
    <w:p>
      <w:pPr>
        <w:pStyle w:val="96"/>
        <w:tabs>
          <w:tab w:val="left" w:pos="540"/>
        </w:tabs>
        <w:spacing w:line="400" w:lineRule="exact"/>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pStyle w:val="96"/>
        <w:spacing w:line="360" w:lineRule="exact"/>
        <w:jc w:val="left"/>
        <w:rPr>
          <w:rFonts w:asciiTheme="minorEastAsia" w:hAnsiTheme="minorEastAsia" w:eastAsiaTheme="minorEastAsia" w:cstheme="minorEastAsia"/>
          <w:color w:val="000000" w:themeColor="text1"/>
          <w:spacing w:val="-4"/>
          <w:sz w:val="28"/>
          <w:szCs w:val="28"/>
          <w14:textFill>
            <w14:solidFill>
              <w14:schemeClr w14:val="tx1"/>
            </w14:solidFill>
          </w14:textFill>
        </w:rPr>
      </w:pPr>
    </w:p>
    <w:p>
      <w:pPr>
        <w:pStyle w:val="96"/>
        <w:spacing w:line="360" w:lineRule="exact"/>
        <w:jc w:val="left"/>
        <w:rPr>
          <w:rFonts w:asciiTheme="minorEastAsia" w:hAnsiTheme="minorEastAsia" w:eastAsiaTheme="minorEastAsia" w:cstheme="minorEastAsia"/>
          <w:color w:val="000000" w:themeColor="text1"/>
          <w:spacing w:val="-4"/>
          <w:sz w:val="28"/>
          <w:szCs w:val="28"/>
          <w14:textFill>
            <w14:solidFill>
              <w14:schemeClr w14:val="tx1"/>
            </w14:solidFill>
          </w14:textFill>
        </w:rPr>
      </w:pPr>
    </w:p>
    <w:p>
      <w:pPr>
        <w:pStyle w:val="96"/>
        <w:spacing w:line="360" w:lineRule="exact"/>
        <w:jc w:val="left"/>
        <w:rPr>
          <w:rFonts w:asciiTheme="minorEastAsia" w:hAnsiTheme="minorEastAsia" w:eastAsiaTheme="minorEastAsia" w:cstheme="minorEastAsia"/>
          <w:color w:val="000000" w:themeColor="text1"/>
          <w:spacing w:val="-4"/>
          <w:sz w:val="28"/>
          <w:szCs w:val="28"/>
          <w14:textFill>
            <w14:solidFill>
              <w14:schemeClr w14:val="tx1"/>
            </w14:solidFill>
          </w14:textFill>
        </w:rPr>
      </w:pPr>
    </w:p>
    <w:p>
      <w:pPr>
        <w:pStyle w:val="96"/>
        <w:spacing w:line="360" w:lineRule="exact"/>
        <w:jc w:val="center"/>
        <w:rPr>
          <w:rFonts w:asciiTheme="minorEastAsia" w:hAnsiTheme="minorEastAsia" w:eastAsiaTheme="minorEastAsia" w:cstheme="minorEastAsia"/>
          <w:color w:val="000000" w:themeColor="text1"/>
          <w:spacing w:val="-4"/>
          <w:sz w:val="28"/>
          <w:szCs w:val="28"/>
          <w14:textFill>
            <w14:solidFill>
              <w14:schemeClr w14:val="tx1"/>
            </w14:solidFill>
          </w14:textFill>
        </w:rPr>
      </w:pPr>
    </w:p>
    <w:p>
      <w:pPr>
        <w:pStyle w:val="96"/>
        <w:spacing w:line="360" w:lineRule="exact"/>
        <w:jc w:val="center"/>
        <w:rPr>
          <w:rFonts w:asciiTheme="minorEastAsia" w:hAnsiTheme="minorEastAsia" w:eastAsiaTheme="minorEastAsia" w:cstheme="minorEastAsia"/>
          <w:color w:val="000000" w:themeColor="text1"/>
          <w:spacing w:val="-4"/>
          <w:sz w:val="28"/>
          <w:szCs w:val="28"/>
          <w14:textFill>
            <w14:solidFill>
              <w14:schemeClr w14:val="tx1"/>
            </w14:solidFill>
          </w14:textFill>
        </w:rPr>
      </w:pPr>
    </w:p>
    <w:p>
      <w:pPr>
        <w:pStyle w:val="96"/>
        <w:spacing w:line="360" w:lineRule="auto"/>
        <w:rPr>
          <w:rFonts w:asciiTheme="minorEastAsia" w:hAnsiTheme="minorEastAsia" w:eastAsiaTheme="minorEastAsia" w:cstheme="minorEastAsia"/>
          <w:b/>
          <w:bCs/>
          <w:color w:val="000000" w:themeColor="text1"/>
          <w:sz w:val="28"/>
          <w:szCs w:val="28"/>
          <w14:textFill>
            <w14:solidFill>
              <w14:schemeClr w14:val="tx1"/>
            </w14:solidFill>
          </w14:textFill>
        </w:rPr>
      </w:pPr>
    </w:p>
    <w:p>
      <w:pPr>
        <w:pStyle w:val="96"/>
        <w:spacing w:line="360" w:lineRule="auto"/>
        <w:rPr>
          <w:rFonts w:asciiTheme="minorEastAsia" w:hAnsiTheme="minorEastAsia" w:eastAsiaTheme="minorEastAsia" w:cstheme="minorEastAsia"/>
          <w:b/>
          <w:bCs/>
          <w:color w:val="000000" w:themeColor="text1"/>
          <w:sz w:val="28"/>
          <w:szCs w:val="28"/>
          <w14:textFill>
            <w14:solidFill>
              <w14:schemeClr w14:val="tx1"/>
            </w14:solidFill>
          </w14:textFill>
        </w:rPr>
      </w:pPr>
    </w:p>
    <w:p>
      <w:pPr>
        <w:pStyle w:val="123"/>
        <w:ind w:firstLine="2811" w:firstLineChars="1000"/>
        <w:outlineLvl w:val="1"/>
        <w:rPr>
          <w:rFonts w:asciiTheme="minorEastAsia" w:hAnsiTheme="minorEastAsia" w:eastAsiaTheme="minorEastAsia" w:cstheme="minorEastAsia"/>
          <w:color w:val="000000" w:themeColor="text1"/>
          <w:sz w:val="28"/>
          <w:szCs w:val="28"/>
          <w14:textFill>
            <w14:solidFill>
              <w14:schemeClr w14:val="tx1"/>
            </w14:solidFill>
          </w14:textFill>
        </w:rPr>
      </w:pPr>
      <w:bookmarkStart w:id="466" w:name="_Toc64973460"/>
      <w:bookmarkStart w:id="467" w:name="_Toc483319432"/>
      <w:bookmarkStart w:id="468" w:name="_Toc1960"/>
      <w:bookmarkStart w:id="469" w:name="_Toc6378"/>
      <w:bookmarkStart w:id="470" w:name="_Toc19516"/>
      <w:bookmarkStart w:id="471" w:name="_Toc32643"/>
      <w:bookmarkStart w:id="472" w:name="_Toc18039"/>
      <w:r>
        <w:rPr>
          <w:rFonts w:hint="eastAsia" w:asciiTheme="minorEastAsia" w:hAnsiTheme="minorEastAsia" w:eastAsiaTheme="minorEastAsia" w:cstheme="minorEastAsia"/>
          <w:color w:val="000000" w:themeColor="text1"/>
          <w:sz w:val="28"/>
          <w:szCs w:val="28"/>
          <w14:textFill>
            <w14:solidFill>
              <w14:schemeClr w14:val="tx1"/>
            </w14:solidFill>
          </w14:textFill>
        </w:rPr>
        <w:t>2、法定代表人资格证明文件</w:t>
      </w:r>
      <w:bookmarkEnd w:id="466"/>
      <w:bookmarkEnd w:id="467"/>
      <w:bookmarkEnd w:id="468"/>
      <w:bookmarkEnd w:id="469"/>
      <w:bookmarkEnd w:id="470"/>
      <w:bookmarkEnd w:id="471"/>
    </w:p>
    <w:p>
      <w:pPr>
        <w:pStyle w:val="108"/>
        <w:adjustRightInd w:val="0"/>
        <w:snapToGrid w:val="0"/>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（代理机构名称）</w:t>
      </w:r>
      <w:r>
        <w:rPr>
          <w:rFonts w:hint="eastAsia" w:asciiTheme="minorEastAsia" w:hAnsiTheme="minorEastAsia" w:eastAsiaTheme="minorEastAsia" w:cstheme="minorEastAsia"/>
          <w:color w:val="000000" w:themeColor="text1"/>
          <w:sz w:val="28"/>
          <w:szCs w:val="28"/>
          <w14:textFill>
            <w14:solidFill>
              <w14:schemeClr w14:val="tx1"/>
            </w14:solidFill>
          </w14:textFill>
        </w:rPr>
        <w:t>：</w:t>
      </w:r>
    </w:p>
    <w:p>
      <w:pPr>
        <w:pStyle w:val="108"/>
        <w:adjustRightInd w:val="0"/>
        <w:snapToGrid w:val="0"/>
        <w:spacing w:line="500" w:lineRule="exact"/>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兹有</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同志为</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公司法定代表人，代表我公司办理一切社会公务事宜，具有法律效力。 </w:t>
      </w:r>
    </w:p>
    <w:p>
      <w:pPr>
        <w:pStyle w:val="108"/>
        <w:adjustRightInd w:val="0"/>
        <w:snapToGrid w:val="0"/>
        <w:spacing w:line="500" w:lineRule="exact"/>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附法定代表人基本情况： </w:t>
      </w:r>
    </w:p>
    <w:p>
      <w:pPr>
        <w:pStyle w:val="108"/>
        <w:adjustRightInd w:val="0"/>
        <w:snapToGrid w:val="0"/>
        <w:spacing w:line="500" w:lineRule="exact"/>
        <w:ind w:firstLine="560" w:firstLineChars="200"/>
        <w:rPr>
          <w:rFonts w:asciiTheme="minorEastAsia" w:hAnsiTheme="minorEastAsia" w:eastAsiaTheme="minorEastAsia" w:cs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姓名：</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性别：</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年龄：</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职务：</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adjustRightInd w:val="0"/>
        <w:snapToGrid w:val="0"/>
        <w:spacing w:line="500" w:lineRule="exact"/>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身份证号码：</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adjustRightInd w:val="0"/>
        <w:snapToGrid w:val="0"/>
        <w:spacing w:line="500" w:lineRule="exact"/>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通讯地址：</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adjustRightInd w:val="0"/>
        <w:snapToGrid w:val="0"/>
        <w:spacing w:line="500" w:lineRule="exact"/>
        <w:ind w:firstLine="560" w:firstLineChars="200"/>
        <w:rPr>
          <w:rFonts w:asciiTheme="minorEastAsia" w:hAnsiTheme="minorEastAsia" w:eastAsiaTheme="minorEastAsia" w:cs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电话号码：</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adjustRightInd w:val="0"/>
        <w:snapToGrid w:val="0"/>
        <w:spacing w:line="500" w:lineRule="exact"/>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邮政编码：</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adjustRightInd w:val="0"/>
        <w:snapToGrid w:val="0"/>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 </w:t>
      </w:r>
    </w:p>
    <w:tbl>
      <w:tblPr>
        <w:tblStyle w:val="44"/>
        <w:tblW w:w="0" w:type="auto"/>
        <w:tblInd w:w="6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8" w:hRule="atLeast"/>
        </w:trPr>
        <w:tc>
          <w:tcPr>
            <w:tcW w:w="6489" w:type="dxa"/>
            <w:tcBorders>
              <w:top w:val="single" w:color="auto" w:sz="4" w:space="0"/>
              <w:left w:val="single" w:color="auto" w:sz="4" w:space="0"/>
              <w:bottom w:val="single" w:color="auto" w:sz="4" w:space="0"/>
              <w:right w:val="single" w:color="auto" w:sz="4" w:space="0"/>
            </w:tcBorders>
          </w:tcPr>
          <w:p>
            <w:pPr>
              <w:pStyle w:val="108"/>
              <w:adjustRightInd w:val="0"/>
              <w:snapToGrid w:val="0"/>
              <w:spacing w:line="50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p>
          <w:p>
            <w:pPr>
              <w:pStyle w:val="108"/>
              <w:adjustRightInd w:val="0"/>
              <w:snapToGrid w:val="0"/>
              <w:spacing w:line="50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p>
          <w:p>
            <w:pPr>
              <w:pStyle w:val="108"/>
              <w:adjustRightInd w:val="0"/>
              <w:snapToGrid w:val="0"/>
              <w:spacing w:line="50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法定代表人《居民身份证》复印件</w:t>
            </w:r>
          </w:p>
        </w:tc>
      </w:tr>
    </w:tbl>
    <w:p>
      <w:pPr>
        <w:pStyle w:val="108"/>
        <w:tabs>
          <w:tab w:val="left" w:pos="750"/>
        </w:tabs>
        <w:adjustRightInd w:val="0"/>
        <w:snapToGrid w:val="0"/>
        <w:spacing w:line="500" w:lineRule="exact"/>
        <w:ind w:firstLine="840" w:firstLineChars="3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投标单位名称（盖章）：</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tabs>
          <w:tab w:val="left" w:pos="750"/>
        </w:tabs>
        <w:adjustRightInd w:val="0"/>
        <w:snapToGrid w:val="0"/>
        <w:spacing w:line="500" w:lineRule="exact"/>
        <w:ind w:firstLine="840" w:firstLineChars="3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法定代表人（签字或盖章）：</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tabs>
          <w:tab w:val="left" w:pos="750"/>
        </w:tabs>
        <w:adjustRightInd w:val="0"/>
        <w:snapToGrid w:val="0"/>
        <w:spacing w:line="500" w:lineRule="exact"/>
        <w:ind w:firstLine="840" w:firstLineChars="3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日期：</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年</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月</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日</w:t>
      </w:r>
    </w:p>
    <w:p>
      <w:pPr>
        <w:pStyle w:val="108"/>
        <w:adjustRightInd w:val="0"/>
        <w:snapToGrid w:val="0"/>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 </w:t>
      </w:r>
    </w:p>
    <w:p>
      <w:pPr>
        <w:pStyle w:val="108"/>
        <w:spacing w:line="500" w:lineRule="exact"/>
        <w:rPr>
          <w:rFonts w:asciiTheme="minorEastAsia" w:hAnsiTheme="minorEastAsia" w:eastAsiaTheme="minorEastAsia" w:cstheme="minorEastAsia"/>
          <w:b/>
          <w:color w:val="000000" w:themeColor="text1"/>
          <w:sz w:val="28"/>
          <w:szCs w:val="28"/>
          <w14:textFill>
            <w14:solidFill>
              <w14:schemeClr w14:val="tx1"/>
            </w14:solidFill>
          </w14:textFill>
        </w:rPr>
      </w:pPr>
    </w:p>
    <w:p>
      <w:pPr>
        <w:pStyle w:val="123"/>
        <w:outlineLvl w:val="1"/>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br w:type="page"/>
      </w:r>
      <w:bookmarkStart w:id="473" w:name="_Toc483319433"/>
      <w:bookmarkStart w:id="474" w:name="_Toc26560"/>
      <w:bookmarkStart w:id="475" w:name="_Toc64973461"/>
      <w:bookmarkStart w:id="476" w:name="_Toc5451"/>
      <w:bookmarkStart w:id="477" w:name="_Toc9779"/>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                        </w:t>
      </w:r>
      <w:bookmarkStart w:id="478" w:name="_Toc20713"/>
      <w:r>
        <w:rPr>
          <w:rFonts w:hint="eastAsia" w:asciiTheme="minorEastAsia" w:hAnsiTheme="minorEastAsia" w:eastAsiaTheme="minorEastAsia" w:cstheme="minorEastAsia"/>
          <w:color w:val="000000" w:themeColor="text1"/>
          <w:sz w:val="28"/>
          <w:szCs w:val="28"/>
          <w14:textFill>
            <w14:solidFill>
              <w14:schemeClr w14:val="tx1"/>
            </w14:solidFill>
          </w14:textFill>
        </w:rPr>
        <w:t>3、法定代表人授权书</w:t>
      </w:r>
      <w:bookmarkEnd w:id="473"/>
      <w:bookmarkEnd w:id="474"/>
      <w:bookmarkEnd w:id="475"/>
      <w:bookmarkEnd w:id="476"/>
      <w:bookmarkEnd w:id="477"/>
      <w:bookmarkEnd w:id="478"/>
    </w:p>
    <w:p>
      <w:pPr>
        <w:pStyle w:val="108"/>
        <w:spacing w:line="460" w:lineRule="exact"/>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（代理机构名称）</w:t>
      </w:r>
      <w:r>
        <w:rPr>
          <w:rFonts w:hint="eastAsia" w:asciiTheme="minorEastAsia" w:hAnsiTheme="minorEastAsia" w:eastAsiaTheme="minorEastAsia" w:cstheme="minorEastAsia"/>
          <w:color w:val="000000" w:themeColor="text1"/>
          <w:sz w:val="28"/>
          <w:szCs w:val="28"/>
          <w14:textFill>
            <w14:solidFill>
              <w14:schemeClr w14:val="tx1"/>
            </w14:solidFill>
          </w14:textFill>
        </w:rPr>
        <w:t>：</w:t>
      </w: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兹授权</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同志为我公司参加贵单位组织的编号为</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（项目编号）</w:t>
      </w:r>
      <w:r>
        <w:rPr>
          <w:rFonts w:hint="eastAsia" w:asciiTheme="minorEastAsia" w:hAnsiTheme="minorEastAsia" w:eastAsiaTheme="minorEastAsia" w:cstheme="minorEastAsia"/>
          <w:color w:val="000000" w:themeColor="text1"/>
          <w:sz w:val="28"/>
          <w:szCs w:val="28"/>
          <w14:textFill>
            <w14:solidFill>
              <w14:schemeClr w14:val="tx1"/>
            </w14:solidFill>
          </w14:textFill>
        </w:rPr>
        <w:t>的</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（项目名称）</w:t>
      </w:r>
      <w:r>
        <w:rPr>
          <w:rFonts w:hint="eastAsia" w:asciiTheme="minorEastAsia" w:hAnsiTheme="minorEastAsia" w:eastAsiaTheme="minorEastAsia" w:cstheme="minorEastAsia"/>
          <w:color w:val="000000" w:themeColor="text1"/>
          <w:sz w:val="28"/>
          <w:szCs w:val="28"/>
          <w14:textFill>
            <w14:solidFill>
              <w14:schemeClr w14:val="tx1"/>
            </w14:solidFill>
          </w14:textFill>
        </w:rPr>
        <w:t>采购活动的投标代表人，全权代表我公司处理在该项目招标活动中的一切事宜。代理期限从</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年</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月</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日起至</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年</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月</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日止。 </w:t>
      </w: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投标单位（盖章）：</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法定代表人（签字或盖章）：</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签发日期：</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年</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月</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日</w:t>
      </w: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附：</w:t>
      </w: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代理人工作单位：</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职务：</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    </w:t>
      </w: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性别：</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p>
      <w:pPr>
        <w:pStyle w:val="108"/>
        <w:spacing w:line="460" w:lineRule="exact"/>
        <w:ind w:firstLine="560" w:firstLineChars="200"/>
        <w:jc w:val="left"/>
        <w:rPr>
          <w:rFonts w:asciiTheme="minorEastAsia" w:hAnsiTheme="minorEastAsia" w:eastAsiaTheme="minorEastAsia" w:cs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身份证号码：</w:t>
      </w:r>
      <w:r>
        <w:rPr>
          <w:rFonts w:hint="eastAsia" w:asciiTheme="minorEastAsia" w:hAnsiTheme="minorEastAsia" w:eastAsiaTheme="minorEastAsia" w:cstheme="minorEastAsia"/>
          <w:color w:val="000000" w:themeColor="text1"/>
          <w:sz w:val="28"/>
          <w:szCs w:val="28"/>
          <w:u w:val="single"/>
          <w14:textFill>
            <w14:solidFill>
              <w14:schemeClr w14:val="tx1"/>
            </w14:solidFill>
          </w14:textFill>
        </w:rPr>
        <w:t xml:space="preserve">                     </w:t>
      </w:r>
    </w:p>
    <w:tbl>
      <w:tblPr>
        <w:tblStyle w:val="44"/>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1" w:hRule="atLeast"/>
        </w:trPr>
        <w:tc>
          <w:tcPr>
            <w:tcW w:w="5695" w:type="dxa"/>
            <w:tcBorders>
              <w:top w:val="single" w:color="auto" w:sz="4" w:space="0"/>
              <w:left w:val="single" w:color="auto" w:sz="4" w:space="0"/>
              <w:bottom w:val="single" w:color="auto" w:sz="4" w:space="0"/>
              <w:right w:val="single" w:color="auto" w:sz="4" w:space="0"/>
            </w:tcBorders>
          </w:tcPr>
          <w:p>
            <w:pPr>
              <w:pStyle w:val="108"/>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p>
          <w:p>
            <w:pPr>
              <w:pStyle w:val="108"/>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p>
          <w:p>
            <w:pPr>
              <w:pStyle w:val="108"/>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粘贴被授权人身份证复印件）</w:t>
            </w:r>
          </w:p>
          <w:p>
            <w:pPr>
              <w:pStyle w:val="108"/>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p>
          <w:p>
            <w:pPr>
              <w:pStyle w:val="108"/>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p>
          <w:p>
            <w:pPr>
              <w:pStyle w:val="108"/>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p>
          <w:p>
            <w:pPr>
              <w:pStyle w:val="108"/>
              <w:spacing w:line="500" w:lineRule="exact"/>
              <w:rPr>
                <w:rFonts w:asciiTheme="minorEastAsia" w:hAnsiTheme="minorEastAsia" w:eastAsiaTheme="minorEastAsia" w:cstheme="minorEastAsia"/>
                <w:color w:val="000000" w:themeColor="text1"/>
                <w:sz w:val="28"/>
                <w:szCs w:val="28"/>
                <w14:textFill>
                  <w14:solidFill>
                    <w14:schemeClr w14:val="tx1"/>
                  </w14:solidFill>
                </w14:textFill>
              </w:rPr>
            </w:pPr>
          </w:p>
        </w:tc>
      </w:tr>
    </w:tbl>
    <w:p>
      <w:pPr>
        <w:pStyle w:val="255"/>
        <w:keepNext/>
        <w:keepLines/>
        <w:spacing w:after="120" w:line="500" w:lineRule="exact"/>
        <w:jc w:val="center"/>
        <w:rPr>
          <w:rFonts w:asciiTheme="minorEastAsia" w:hAnsiTheme="minorEastAsia" w:eastAsiaTheme="minorEastAsia" w:cstheme="minorEastAsia"/>
          <w:b/>
          <w:color w:val="000000" w:themeColor="text1"/>
          <w:sz w:val="28"/>
          <w:szCs w:val="28"/>
          <w14:textFill>
            <w14:solidFill>
              <w14:schemeClr w14:val="tx1"/>
            </w14:solidFill>
          </w14:textFill>
        </w:rPr>
      </w:pPr>
      <w:bookmarkStart w:id="479" w:name="_Toc24717"/>
    </w:p>
    <w:p>
      <w:pPr>
        <w:rPr>
          <w:rFonts w:asciiTheme="minorEastAsia" w:hAnsiTheme="minorEastAsia" w:eastAsiaTheme="minorEastAsia" w:cstheme="minorEastAsia"/>
          <w:b/>
          <w:color w:val="000000" w:themeColor="text1"/>
          <w:sz w:val="28"/>
          <w:szCs w:val="28"/>
          <w14:textFill>
            <w14:solidFill>
              <w14:schemeClr w14:val="tx1"/>
            </w14:solidFill>
          </w14:textFill>
        </w:rPr>
      </w:pPr>
      <w:r>
        <w:rPr>
          <w:rFonts w:hint="eastAsia" w:asciiTheme="minorEastAsia" w:hAnsiTheme="minorEastAsia" w:eastAsiaTheme="minorEastAsia" w:cstheme="minorEastAsia"/>
          <w:b/>
          <w:color w:val="000000" w:themeColor="text1"/>
          <w:sz w:val="28"/>
          <w:szCs w:val="28"/>
          <w14:textFill>
            <w14:solidFill>
              <w14:schemeClr w14:val="tx1"/>
            </w14:solidFill>
          </w14:textFill>
        </w:rPr>
        <w:br w:type="page"/>
      </w:r>
    </w:p>
    <w:p>
      <w:pPr>
        <w:pStyle w:val="255"/>
        <w:keepNext/>
        <w:keepLines/>
        <w:spacing w:after="120" w:line="500" w:lineRule="exact"/>
        <w:jc w:val="center"/>
        <w:outlineLvl w:val="2"/>
        <w:rPr>
          <w:rFonts w:asciiTheme="minorEastAsia" w:hAnsiTheme="minorEastAsia" w:eastAsiaTheme="minorEastAsia" w:cstheme="minorEastAsia"/>
          <w:b/>
          <w:color w:val="000000" w:themeColor="text1"/>
          <w:sz w:val="28"/>
          <w:szCs w:val="28"/>
          <w14:textFill>
            <w14:solidFill>
              <w14:schemeClr w14:val="tx1"/>
            </w14:solidFill>
          </w14:textFill>
        </w:rPr>
      </w:pPr>
      <w:r>
        <w:rPr>
          <w:rFonts w:hint="eastAsia" w:asciiTheme="minorEastAsia" w:hAnsiTheme="minorEastAsia" w:eastAsiaTheme="minorEastAsia" w:cstheme="minorEastAsia"/>
          <w:b/>
          <w:color w:val="000000" w:themeColor="text1"/>
          <w:sz w:val="28"/>
          <w:szCs w:val="28"/>
          <w14:textFill>
            <w14:solidFill>
              <w14:schemeClr w14:val="tx1"/>
            </w14:solidFill>
          </w14:textFill>
        </w:rPr>
        <w:t>4、投标人基本情况</w:t>
      </w:r>
      <w:bookmarkEnd w:id="479"/>
    </w:p>
    <w:tbl>
      <w:tblPr>
        <w:tblStyle w:val="44"/>
        <w:tblW w:w="96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7"/>
        <w:gridCol w:w="1095"/>
        <w:gridCol w:w="1117"/>
        <w:gridCol w:w="1298"/>
        <w:gridCol w:w="675"/>
        <w:gridCol w:w="1003"/>
        <w:gridCol w:w="317"/>
        <w:gridCol w:w="1050"/>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投标人名称</w:t>
            </w:r>
          </w:p>
        </w:tc>
        <w:tc>
          <w:tcPr>
            <w:tcW w:w="7696" w:type="dxa"/>
            <w:gridSpan w:val="8"/>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注册地址</w:t>
            </w:r>
          </w:p>
        </w:tc>
        <w:tc>
          <w:tcPr>
            <w:tcW w:w="3510" w:type="dxa"/>
            <w:gridSpan w:val="3"/>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995" w:type="dxa"/>
            <w:gridSpan w:val="3"/>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邮政编码</w:t>
            </w:r>
          </w:p>
        </w:tc>
        <w:tc>
          <w:tcPr>
            <w:tcW w:w="21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7" w:type="dxa"/>
            <w:vMerge w:val="restart"/>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联系方式</w:t>
            </w:r>
          </w:p>
        </w:tc>
        <w:tc>
          <w:tcPr>
            <w:tcW w:w="1095"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联系人</w:t>
            </w:r>
          </w:p>
        </w:tc>
        <w:tc>
          <w:tcPr>
            <w:tcW w:w="241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995" w:type="dxa"/>
            <w:gridSpan w:val="3"/>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电  话</w:t>
            </w:r>
          </w:p>
        </w:tc>
        <w:tc>
          <w:tcPr>
            <w:tcW w:w="21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7" w:type="dxa"/>
            <w:vMerge w:val="continue"/>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095"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传  真</w:t>
            </w:r>
          </w:p>
        </w:tc>
        <w:tc>
          <w:tcPr>
            <w:tcW w:w="241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995" w:type="dxa"/>
            <w:gridSpan w:val="3"/>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网  址</w:t>
            </w:r>
          </w:p>
        </w:tc>
        <w:tc>
          <w:tcPr>
            <w:tcW w:w="21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组织结构</w:t>
            </w:r>
          </w:p>
        </w:tc>
        <w:tc>
          <w:tcPr>
            <w:tcW w:w="7696" w:type="dxa"/>
            <w:gridSpan w:val="8"/>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法定代表人</w:t>
            </w:r>
          </w:p>
        </w:tc>
        <w:tc>
          <w:tcPr>
            <w:tcW w:w="1095"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姓名</w:t>
            </w:r>
          </w:p>
        </w:tc>
        <w:tc>
          <w:tcPr>
            <w:tcW w:w="111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973"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技术职称</w:t>
            </w:r>
          </w:p>
        </w:tc>
        <w:tc>
          <w:tcPr>
            <w:tcW w:w="1003"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电话</w:t>
            </w:r>
          </w:p>
        </w:tc>
        <w:tc>
          <w:tcPr>
            <w:tcW w:w="1141"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技术负责人</w:t>
            </w:r>
          </w:p>
        </w:tc>
        <w:tc>
          <w:tcPr>
            <w:tcW w:w="1095"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姓名</w:t>
            </w:r>
          </w:p>
        </w:tc>
        <w:tc>
          <w:tcPr>
            <w:tcW w:w="111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973"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技术职称</w:t>
            </w:r>
          </w:p>
        </w:tc>
        <w:tc>
          <w:tcPr>
            <w:tcW w:w="1003"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电话</w:t>
            </w:r>
          </w:p>
        </w:tc>
        <w:tc>
          <w:tcPr>
            <w:tcW w:w="1141"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成立时间</w:t>
            </w:r>
          </w:p>
        </w:tc>
        <w:tc>
          <w:tcPr>
            <w:tcW w:w="2212"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5484" w:type="dxa"/>
            <w:gridSpan w:val="6"/>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营业执照号</w:t>
            </w:r>
          </w:p>
        </w:tc>
        <w:tc>
          <w:tcPr>
            <w:tcW w:w="7696" w:type="dxa"/>
            <w:gridSpan w:val="8"/>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注册资金</w:t>
            </w:r>
          </w:p>
        </w:tc>
        <w:tc>
          <w:tcPr>
            <w:tcW w:w="7696" w:type="dxa"/>
            <w:gridSpan w:val="8"/>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基本帐户</w:t>
            </w:r>
          </w:p>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开户银行</w:t>
            </w:r>
          </w:p>
        </w:tc>
        <w:tc>
          <w:tcPr>
            <w:tcW w:w="7696" w:type="dxa"/>
            <w:gridSpan w:val="8"/>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997" w:type="dxa"/>
            <w:vAlign w:val="center"/>
          </w:tcPr>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基本帐户账号</w:t>
            </w:r>
          </w:p>
        </w:tc>
        <w:tc>
          <w:tcPr>
            <w:tcW w:w="7696" w:type="dxa"/>
            <w:gridSpan w:val="8"/>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经营范围</w:t>
            </w:r>
          </w:p>
        </w:tc>
        <w:tc>
          <w:tcPr>
            <w:tcW w:w="7696" w:type="dxa"/>
            <w:gridSpan w:val="8"/>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关联单位</w:t>
            </w:r>
          </w:p>
        </w:tc>
        <w:tc>
          <w:tcPr>
            <w:tcW w:w="7696" w:type="dxa"/>
            <w:gridSpan w:val="8"/>
            <w:vAlign w:val="center"/>
          </w:tcPr>
          <w:p>
            <w:pPr>
              <w:spacing w:line="44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单位负责人与本单位负责人为同一人的单位：</w:t>
            </w:r>
          </w:p>
          <w:p>
            <w:pPr>
              <w:spacing w:line="44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与本单位存在控股与被控股关系的单位：</w:t>
            </w:r>
          </w:p>
          <w:p>
            <w:pPr>
              <w:spacing w:line="44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与本单位存在管理与被管理关系的单位：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7"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备注</w:t>
            </w:r>
          </w:p>
        </w:tc>
        <w:tc>
          <w:tcPr>
            <w:tcW w:w="7696" w:type="dxa"/>
            <w:gridSpan w:val="8"/>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bl>
    <w:p>
      <w:pPr>
        <w:spacing w:line="3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备注：1.本表后应附企业法人营业执照副本（全本）、基本账户开户许可证。</w:t>
      </w:r>
    </w:p>
    <w:p>
      <w:pPr>
        <w:tabs>
          <w:tab w:val="left" w:pos="630"/>
        </w:tabs>
        <w:spacing w:line="3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2.未披露或未真实披露投标人与其关联单位的关系的相关情况视为弄虚作假。</w:t>
      </w:r>
    </w:p>
    <w:p>
      <w:pPr>
        <w:rPr>
          <w:rFonts w:asciiTheme="minorEastAsia" w:hAnsiTheme="minorEastAsia" w:eastAsiaTheme="minorEastAsia" w:cstheme="minorEastAsia"/>
          <w:color w:val="000000" w:themeColor="text1"/>
          <w:sz w:val="28"/>
          <w:szCs w:val="28"/>
          <w14:textFill>
            <w14:solidFill>
              <w14:schemeClr w14:val="tx1"/>
            </w14:solidFill>
          </w14:textFill>
        </w:rPr>
      </w:pPr>
    </w:p>
    <w:p>
      <w:pPr>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t>5、对照资格审查条件要求提供证明材料复印件加盖单位公章</w:t>
      </w: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spacing w:line="360" w:lineRule="exact"/>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rPr>
          <w:rFonts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br w:type="page"/>
      </w:r>
    </w:p>
    <w:p>
      <w:pPr>
        <w:keepNext/>
        <w:keepLines/>
        <w:widowControl/>
        <w:spacing w:after="120" w:line="500" w:lineRule="exact"/>
        <w:jc w:val="center"/>
        <w:outlineLvl w:val="2"/>
        <w:rPr>
          <w:rFonts w:asciiTheme="minorEastAsia" w:hAnsiTheme="minorEastAsia" w:eastAsiaTheme="minorEastAsia" w:cstheme="minorEastAsia"/>
          <w:b/>
          <w:bCs/>
          <w:color w:val="000000" w:themeColor="text1"/>
          <w:sz w:val="28"/>
          <w:szCs w:val="28"/>
          <w14:textFill>
            <w14:solidFill>
              <w14:schemeClr w14:val="tx1"/>
            </w14:solidFill>
          </w14:textFill>
        </w:rPr>
      </w:pPr>
      <w:bookmarkStart w:id="480" w:name="_Toc21945817"/>
      <w:bookmarkStart w:id="481" w:name="_Toc11069"/>
      <w:r>
        <w:rPr>
          <w:rFonts w:hint="eastAsia" w:asciiTheme="minorEastAsia" w:hAnsiTheme="minorEastAsia" w:eastAsiaTheme="minorEastAsia" w:cstheme="minorEastAsia"/>
          <w:b/>
          <w:bCs/>
          <w:color w:val="000000" w:themeColor="text1"/>
          <w:sz w:val="28"/>
          <w:szCs w:val="28"/>
          <w14:textFill>
            <w14:solidFill>
              <w14:schemeClr w14:val="tx1"/>
            </w14:solidFill>
          </w14:textFill>
        </w:rPr>
        <w:t>6、投标人类似项目业绩汇总表</w:t>
      </w:r>
      <w:bookmarkEnd w:id="480"/>
      <w:bookmarkEnd w:id="481"/>
    </w:p>
    <w:tbl>
      <w:tblPr>
        <w:tblStyle w:val="44"/>
        <w:tblW w:w="9689"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573"/>
        <w:gridCol w:w="1636"/>
        <w:gridCol w:w="1396"/>
        <w:gridCol w:w="1360"/>
        <w:gridCol w:w="1253"/>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3" w:type="dxa"/>
            <w:vAlign w:val="center"/>
          </w:tcPr>
          <w:p>
            <w:pPr>
              <w:spacing w:line="38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序号</w:t>
            </w:r>
          </w:p>
        </w:tc>
        <w:tc>
          <w:tcPr>
            <w:tcW w:w="1573" w:type="dxa"/>
            <w:vAlign w:val="center"/>
          </w:tcPr>
          <w:p>
            <w:pPr>
              <w:spacing w:line="38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项目名称</w:t>
            </w:r>
          </w:p>
        </w:tc>
        <w:tc>
          <w:tcPr>
            <w:tcW w:w="1636" w:type="dxa"/>
            <w:vAlign w:val="center"/>
          </w:tcPr>
          <w:p>
            <w:pPr>
              <w:spacing w:line="38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招标人名称</w:t>
            </w:r>
          </w:p>
        </w:tc>
        <w:tc>
          <w:tcPr>
            <w:tcW w:w="1396" w:type="dxa"/>
            <w:vAlign w:val="center"/>
          </w:tcPr>
          <w:p>
            <w:pPr>
              <w:spacing w:line="380" w:lineRule="exac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合同内容</w:t>
            </w:r>
          </w:p>
        </w:tc>
        <w:tc>
          <w:tcPr>
            <w:tcW w:w="1360" w:type="dxa"/>
            <w:vAlign w:val="center"/>
          </w:tcPr>
          <w:p>
            <w:pPr>
              <w:spacing w:line="38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合同价格</w:t>
            </w:r>
          </w:p>
          <w:p>
            <w:pPr>
              <w:spacing w:line="38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（万元）</w:t>
            </w:r>
          </w:p>
        </w:tc>
        <w:tc>
          <w:tcPr>
            <w:tcW w:w="1253" w:type="dxa"/>
            <w:vAlign w:val="center"/>
          </w:tcPr>
          <w:p>
            <w:pPr>
              <w:spacing w:line="38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服务</w:t>
            </w:r>
          </w:p>
          <w:p>
            <w:pPr>
              <w:spacing w:line="380" w:lineRule="exact"/>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时间</w:t>
            </w:r>
          </w:p>
        </w:tc>
        <w:tc>
          <w:tcPr>
            <w:tcW w:w="1658" w:type="dxa"/>
            <w:vAlign w:val="center"/>
          </w:tcPr>
          <w:p>
            <w:pPr>
              <w:spacing w:line="380" w:lineRule="exac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57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96"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360"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253"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58" w:type="dxa"/>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bl>
    <w:p>
      <w:pPr>
        <w:autoSpaceDE w:val="0"/>
        <w:autoSpaceDN w:val="0"/>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说明：1.每个合同须单独附表，并附上相关证明材料，否则专家在评审时将不予采信；</w:t>
      </w:r>
    </w:p>
    <w:p>
      <w:pPr>
        <w:spacing w:line="460" w:lineRule="exact"/>
        <w:ind w:firstLine="560" w:firstLineChars="200"/>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2.项目内容请详细说明所承担的具体工作内容。</w:t>
      </w:r>
    </w:p>
    <w:p>
      <w:pPr>
        <w:widowControl/>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widowControl/>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widowControl/>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widowControl/>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widowControl/>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widowControl/>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widowControl/>
        <w:jc w:val="left"/>
        <w:rPr>
          <w:rFonts w:asciiTheme="minorEastAsia" w:hAnsiTheme="minorEastAsia" w:eastAsiaTheme="minorEastAsia" w:cstheme="minorEastAsia"/>
          <w:color w:val="000000" w:themeColor="text1"/>
          <w:sz w:val="28"/>
          <w:szCs w:val="28"/>
          <w14:textFill>
            <w14:solidFill>
              <w14:schemeClr w14:val="tx1"/>
            </w14:solidFill>
          </w14:textFill>
        </w:rPr>
      </w:pPr>
    </w:p>
    <w:p>
      <w:pPr>
        <w:widowControl/>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br w:type="page"/>
      </w:r>
    </w:p>
    <w:p>
      <w:pPr>
        <w:autoSpaceDE w:val="0"/>
        <w:autoSpaceDN w:val="0"/>
        <w:adjustRightInd w:val="0"/>
        <w:spacing w:line="500" w:lineRule="exact"/>
        <w:jc w:val="center"/>
        <w:outlineLvl w:val="1"/>
        <w:rPr>
          <w:rFonts w:asciiTheme="minorEastAsia" w:hAnsiTheme="minorEastAsia" w:eastAsiaTheme="minorEastAsia" w:cstheme="minorEastAsia"/>
          <w:b/>
          <w:color w:val="000000" w:themeColor="text1"/>
          <w:sz w:val="28"/>
          <w:szCs w:val="28"/>
          <w:lang w:val="zh-CN"/>
          <w14:textFill>
            <w14:solidFill>
              <w14:schemeClr w14:val="tx1"/>
            </w14:solidFill>
          </w14:textFill>
        </w:rPr>
      </w:pPr>
      <w:bookmarkStart w:id="482" w:name="_Toc28336"/>
      <w:bookmarkStart w:id="483" w:name="_Toc4786"/>
      <w:bookmarkStart w:id="484" w:name="_Toc10903"/>
      <w:bookmarkStart w:id="485" w:name="_Toc27361"/>
      <w:r>
        <w:rPr>
          <w:rFonts w:hint="eastAsia" w:asciiTheme="minorEastAsia" w:hAnsiTheme="minorEastAsia" w:eastAsiaTheme="minorEastAsia" w:cstheme="minorEastAsia"/>
          <w:b/>
          <w:color w:val="000000" w:themeColor="text1"/>
          <w:sz w:val="28"/>
          <w:szCs w:val="28"/>
          <w:lang w:val="en-US" w:eastAsia="zh-CN"/>
          <w14:textFill>
            <w14:solidFill>
              <w14:schemeClr w14:val="tx1"/>
            </w14:solidFill>
          </w14:textFill>
        </w:rPr>
        <w:t>7</w:t>
      </w:r>
      <w:r>
        <w:rPr>
          <w:rFonts w:hint="eastAsia" w:asciiTheme="minorEastAsia" w:hAnsiTheme="minorEastAsia" w:eastAsiaTheme="minorEastAsia" w:cstheme="minorEastAsia"/>
          <w:b/>
          <w:color w:val="000000" w:themeColor="text1"/>
          <w:sz w:val="28"/>
          <w:szCs w:val="28"/>
          <w:lang w:val="zh-CN"/>
          <w14:textFill>
            <w14:solidFill>
              <w14:schemeClr w14:val="tx1"/>
            </w14:solidFill>
          </w14:textFill>
        </w:rPr>
        <w:t>、项目负责人简历表</w:t>
      </w:r>
      <w:bookmarkEnd w:id="482"/>
      <w:bookmarkEnd w:id="483"/>
      <w:bookmarkEnd w:id="484"/>
      <w:bookmarkEnd w:id="485"/>
    </w:p>
    <w:tbl>
      <w:tblPr>
        <w:tblStyle w:val="44"/>
        <w:tblW w:w="9262" w:type="dxa"/>
        <w:tblInd w:w="3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3"/>
        <w:gridCol w:w="138"/>
        <w:gridCol w:w="1056"/>
        <w:gridCol w:w="612"/>
        <w:gridCol w:w="1252"/>
        <w:gridCol w:w="785"/>
        <w:gridCol w:w="411"/>
        <w:gridCol w:w="1224"/>
        <w:gridCol w:w="491"/>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493"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姓 名</w:t>
            </w:r>
          </w:p>
        </w:tc>
        <w:tc>
          <w:tcPr>
            <w:tcW w:w="1194"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864"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性  别</w:t>
            </w:r>
          </w:p>
        </w:tc>
        <w:tc>
          <w:tcPr>
            <w:tcW w:w="1196"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71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年  龄</w:t>
            </w:r>
          </w:p>
        </w:tc>
        <w:tc>
          <w:tcPr>
            <w:tcW w:w="1800"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493"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职 务</w:t>
            </w:r>
          </w:p>
        </w:tc>
        <w:tc>
          <w:tcPr>
            <w:tcW w:w="1194"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864"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职  称</w:t>
            </w:r>
          </w:p>
        </w:tc>
        <w:tc>
          <w:tcPr>
            <w:tcW w:w="1196"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71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学  历</w:t>
            </w:r>
          </w:p>
        </w:tc>
        <w:tc>
          <w:tcPr>
            <w:tcW w:w="1800"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93"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参加工作</w:t>
            </w:r>
          </w:p>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时间</w:t>
            </w:r>
          </w:p>
        </w:tc>
        <w:tc>
          <w:tcPr>
            <w:tcW w:w="1194"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864"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从事本行业工作年限</w:t>
            </w:r>
          </w:p>
        </w:tc>
        <w:tc>
          <w:tcPr>
            <w:tcW w:w="1196"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71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个人专业资质及证书</w:t>
            </w:r>
          </w:p>
        </w:tc>
        <w:tc>
          <w:tcPr>
            <w:tcW w:w="1800" w:type="dxa"/>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9262" w:type="dxa"/>
            <w:gridSpan w:val="10"/>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个人简介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9" w:hRule="atLeast"/>
        </w:trPr>
        <w:tc>
          <w:tcPr>
            <w:tcW w:w="9262" w:type="dxa"/>
            <w:gridSpan w:val="10"/>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trPr>
        <w:tc>
          <w:tcPr>
            <w:tcW w:w="9262" w:type="dxa"/>
            <w:gridSpan w:val="10"/>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类似项目经验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1" w:type="dxa"/>
            <w:gridSpan w:val="2"/>
            <w:vAlign w:val="center"/>
          </w:tcPr>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项目单位</w:t>
            </w:r>
          </w:p>
        </w:tc>
        <w:tc>
          <w:tcPr>
            <w:tcW w:w="1668"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项目名称</w:t>
            </w:r>
          </w:p>
        </w:tc>
        <w:tc>
          <w:tcPr>
            <w:tcW w:w="203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项目内容</w:t>
            </w:r>
          </w:p>
        </w:tc>
        <w:tc>
          <w:tcPr>
            <w:tcW w:w="163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项目总金额</w:t>
            </w:r>
          </w:p>
        </w:tc>
        <w:tc>
          <w:tcPr>
            <w:tcW w:w="22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项目服务周期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68"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03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2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68"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03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2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68"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03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2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68"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03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2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68"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03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2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68"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03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2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68"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03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2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68"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037"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1635"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c>
          <w:tcPr>
            <w:tcW w:w="2291" w:type="dxa"/>
            <w:gridSpan w:val="2"/>
            <w:vAlign w:val="center"/>
          </w:tcPr>
          <w:p>
            <w:pPr>
              <w:jc w:val="center"/>
              <w:rPr>
                <w:rFonts w:asciiTheme="minorEastAsia" w:hAnsiTheme="minorEastAsia" w:eastAsiaTheme="minorEastAsia" w:cstheme="minorEastAsia"/>
                <w:color w:val="000000" w:themeColor="text1"/>
                <w:sz w:val="28"/>
                <w:szCs w:val="28"/>
                <w14:textFill>
                  <w14:solidFill>
                    <w14:schemeClr w14:val="tx1"/>
                  </w14:solidFill>
                </w14:textFill>
              </w:rPr>
            </w:pPr>
          </w:p>
        </w:tc>
      </w:tr>
    </w:tbl>
    <w:p>
      <w:pPr>
        <w:ind w:firstLine="280" w:firstLineChars="1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说明：后附相关证明材料的复印件。</w:t>
      </w:r>
    </w:p>
    <w:p>
      <w:pPr>
        <w:tabs>
          <w:tab w:val="left" w:pos="750"/>
        </w:tabs>
        <w:adjustRightInd w:val="0"/>
        <w:snapToGrid w:val="0"/>
        <w:spacing w:line="500" w:lineRule="exact"/>
        <w:rPr>
          <w:rFonts w:ascii="宋体" w:hAnsi="宋体" w:cs="宋体"/>
          <w:color w:val="000000" w:themeColor="text1"/>
          <w:sz w:val="24"/>
          <w:szCs w:val="24"/>
          <w14:textFill>
            <w14:solidFill>
              <w14:schemeClr w14:val="tx1"/>
            </w14:solidFill>
          </w14:textFill>
        </w:rPr>
      </w:pPr>
    </w:p>
    <w:p>
      <w:pPr>
        <w:autoSpaceDE w:val="0"/>
        <w:autoSpaceDN w:val="0"/>
        <w:adjustRightInd w:val="0"/>
        <w:spacing w:line="500" w:lineRule="exact"/>
        <w:jc w:val="center"/>
        <w:rPr>
          <w:rFonts w:ascii="宋体" w:hAnsi="宋体" w:cs="宋体"/>
          <w:b/>
          <w:color w:val="000000" w:themeColor="text1"/>
          <w:sz w:val="24"/>
          <w:szCs w:val="24"/>
          <w:lang w:val="zh-CN"/>
          <w14:textFill>
            <w14:solidFill>
              <w14:schemeClr w14:val="tx1"/>
            </w14:solidFill>
          </w14:textFill>
        </w:rPr>
      </w:pPr>
      <w:bookmarkStart w:id="486" w:name="_Toc64973465"/>
      <w:bookmarkStart w:id="487" w:name="_Toc483319436"/>
    </w:p>
    <w:p>
      <w:pPr>
        <w:autoSpaceDE w:val="0"/>
        <w:autoSpaceDN w:val="0"/>
        <w:adjustRightInd w:val="0"/>
        <w:spacing w:line="500" w:lineRule="exact"/>
        <w:jc w:val="center"/>
        <w:rPr>
          <w:rFonts w:ascii="宋体" w:hAnsi="宋体" w:cs="宋体"/>
          <w:b/>
          <w:color w:val="000000" w:themeColor="text1"/>
          <w:sz w:val="28"/>
          <w:szCs w:val="28"/>
          <w:lang w:val="zh-CN"/>
          <w14:textFill>
            <w14:solidFill>
              <w14:schemeClr w14:val="tx1"/>
            </w14:solidFill>
          </w14:textFill>
        </w:rPr>
      </w:pPr>
    </w:p>
    <w:p>
      <w:pPr>
        <w:autoSpaceDE w:val="0"/>
        <w:autoSpaceDN w:val="0"/>
        <w:adjustRightInd w:val="0"/>
        <w:spacing w:line="500" w:lineRule="exact"/>
        <w:jc w:val="center"/>
        <w:rPr>
          <w:rFonts w:ascii="宋体" w:hAnsi="宋体" w:cs="宋体"/>
          <w:b/>
          <w:color w:val="000000" w:themeColor="text1"/>
          <w:sz w:val="28"/>
          <w:szCs w:val="28"/>
          <w:lang w:val="zh-CN"/>
          <w14:textFill>
            <w14:solidFill>
              <w14:schemeClr w14:val="tx1"/>
            </w14:solidFill>
          </w14:textFill>
        </w:rPr>
      </w:pPr>
    </w:p>
    <w:p>
      <w:pPr>
        <w:autoSpaceDE w:val="0"/>
        <w:autoSpaceDN w:val="0"/>
        <w:adjustRightInd w:val="0"/>
        <w:spacing w:line="500" w:lineRule="exact"/>
        <w:jc w:val="center"/>
        <w:rPr>
          <w:rFonts w:ascii="宋体" w:hAnsi="宋体" w:cs="宋体"/>
          <w:b/>
          <w:color w:val="000000" w:themeColor="text1"/>
          <w:sz w:val="28"/>
          <w:szCs w:val="28"/>
          <w:lang w:val="zh-CN"/>
          <w14:textFill>
            <w14:solidFill>
              <w14:schemeClr w14:val="tx1"/>
            </w14:solidFill>
          </w14:textFill>
        </w:rPr>
      </w:pPr>
    </w:p>
    <w:p>
      <w:pPr>
        <w:autoSpaceDE w:val="0"/>
        <w:autoSpaceDN w:val="0"/>
        <w:adjustRightInd w:val="0"/>
        <w:spacing w:line="500" w:lineRule="exact"/>
        <w:jc w:val="center"/>
        <w:rPr>
          <w:rFonts w:ascii="宋体" w:hAnsi="宋体" w:cs="宋体"/>
          <w:b/>
          <w:color w:val="000000" w:themeColor="text1"/>
          <w:sz w:val="28"/>
          <w:szCs w:val="28"/>
          <w:lang w:val="zh-CN"/>
          <w14:textFill>
            <w14:solidFill>
              <w14:schemeClr w14:val="tx1"/>
            </w14:solidFill>
          </w14:textFill>
        </w:rPr>
      </w:pPr>
    </w:p>
    <w:p>
      <w:pPr>
        <w:autoSpaceDE w:val="0"/>
        <w:autoSpaceDN w:val="0"/>
        <w:adjustRightInd w:val="0"/>
        <w:spacing w:line="500" w:lineRule="exact"/>
        <w:jc w:val="center"/>
        <w:outlineLvl w:val="1"/>
        <w:rPr>
          <w:rFonts w:ascii="宋体" w:hAnsi="宋体" w:cs="宋体"/>
          <w:color w:val="000000" w:themeColor="text1"/>
          <w:sz w:val="28"/>
          <w:szCs w:val="28"/>
          <w14:textFill>
            <w14:solidFill>
              <w14:schemeClr w14:val="tx1"/>
            </w14:solidFill>
          </w14:textFill>
        </w:rPr>
      </w:pPr>
      <w:bookmarkStart w:id="488" w:name="_Toc18266"/>
      <w:bookmarkStart w:id="489" w:name="_Toc26121"/>
      <w:bookmarkStart w:id="490" w:name="_Toc1691"/>
      <w:bookmarkStart w:id="491" w:name="_Toc17043"/>
      <w:r>
        <w:rPr>
          <w:rFonts w:hint="eastAsia" w:ascii="宋体" w:hAnsi="宋体" w:cs="宋体"/>
          <w:b/>
          <w:color w:val="000000" w:themeColor="text1"/>
          <w:sz w:val="28"/>
          <w:szCs w:val="28"/>
          <w:lang w:val="en-US" w:eastAsia="zh-CN"/>
          <w14:textFill>
            <w14:solidFill>
              <w14:schemeClr w14:val="tx1"/>
            </w14:solidFill>
          </w14:textFill>
        </w:rPr>
        <w:t>8</w:t>
      </w:r>
      <w:r>
        <w:rPr>
          <w:rFonts w:hint="eastAsia" w:ascii="宋体" w:hAnsi="宋体" w:cs="宋体"/>
          <w:b/>
          <w:color w:val="000000" w:themeColor="text1"/>
          <w:sz w:val="28"/>
          <w:szCs w:val="28"/>
          <w:lang w:val="zh-CN"/>
          <w14:textFill>
            <w14:solidFill>
              <w14:schemeClr w14:val="tx1"/>
            </w14:solidFill>
          </w14:textFill>
        </w:rPr>
        <w:t>、项目班子成员情况表</w:t>
      </w:r>
      <w:bookmarkEnd w:id="486"/>
      <w:bookmarkEnd w:id="487"/>
      <w:bookmarkEnd w:id="488"/>
      <w:bookmarkEnd w:id="489"/>
      <w:bookmarkEnd w:id="490"/>
      <w:bookmarkEnd w:id="491"/>
    </w:p>
    <w:tbl>
      <w:tblPr>
        <w:tblStyle w:val="44"/>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1134"/>
        <w:gridCol w:w="1985"/>
        <w:gridCol w:w="1275"/>
        <w:gridCol w:w="2268"/>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shd w:val="pct10" w:color="auto" w:fill="auto"/>
            <w:vAlign w:val="center"/>
          </w:tcPr>
          <w:p>
            <w:pPr>
              <w:pStyle w:val="75"/>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序号</w:t>
            </w:r>
          </w:p>
        </w:tc>
        <w:tc>
          <w:tcPr>
            <w:tcW w:w="1134" w:type="dxa"/>
            <w:tcBorders>
              <w:top w:val="single" w:color="auto" w:sz="4" w:space="0"/>
              <w:left w:val="single" w:color="auto" w:sz="4" w:space="0"/>
              <w:bottom w:val="single" w:color="auto" w:sz="4" w:space="0"/>
              <w:right w:val="single" w:color="auto" w:sz="4" w:space="0"/>
            </w:tcBorders>
            <w:shd w:val="pct10" w:color="auto" w:fill="auto"/>
            <w:vAlign w:val="center"/>
          </w:tcPr>
          <w:p>
            <w:pPr>
              <w:pStyle w:val="75"/>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姓名</w:t>
            </w:r>
          </w:p>
        </w:tc>
        <w:tc>
          <w:tcPr>
            <w:tcW w:w="1134" w:type="dxa"/>
            <w:tcBorders>
              <w:top w:val="single" w:color="auto" w:sz="4" w:space="0"/>
              <w:left w:val="single" w:color="auto" w:sz="4" w:space="0"/>
              <w:bottom w:val="single" w:color="auto" w:sz="4" w:space="0"/>
              <w:right w:val="single" w:color="auto" w:sz="4" w:space="0"/>
            </w:tcBorders>
            <w:shd w:val="pct10" w:color="auto" w:fill="auto"/>
            <w:vAlign w:val="center"/>
          </w:tcPr>
          <w:p>
            <w:pPr>
              <w:pStyle w:val="75"/>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身份证号</w:t>
            </w:r>
          </w:p>
        </w:tc>
        <w:tc>
          <w:tcPr>
            <w:tcW w:w="1985" w:type="dxa"/>
            <w:tcBorders>
              <w:top w:val="single" w:color="auto" w:sz="4" w:space="0"/>
              <w:left w:val="single" w:color="auto" w:sz="4" w:space="0"/>
              <w:bottom w:val="single" w:color="auto" w:sz="4" w:space="0"/>
              <w:right w:val="single" w:color="auto" w:sz="4" w:space="0"/>
            </w:tcBorders>
            <w:shd w:val="pct10" w:color="auto" w:fill="auto"/>
            <w:vAlign w:val="center"/>
          </w:tcPr>
          <w:p>
            <w:pPr>
              <w:pStyle w:val="75"/>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地址</w:t>
            </w:r>
          </w:p>
        </w:tc>
        <w:tc>
          <w:tcPr>
            <w:tcW w:w="1275" w:type="dxa"/>
            <w:tcBorders>
              <w:top w:val="single" w:color="auto" w:sz="4" w:space="0"/>
              <w:left w:val="single" w:color="auto" w:sz="4" w:space="0"/>
              <w:bottom w:val="single" w:color="auto" w:sz="4" w:space="0"/>
              <w:right w:val="single" w:color="auto" w:sz="4" w:space="0"/>
            </w:tcBorders>
            <w:shd w:val="pct10" w:color="auto" w:fill="auto"/>
            <w:vAlign w:val="center"/>
          </w:tcPr>
          <w:p>
            <w:pPr>
              <w:pStyle w:val="75"/>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任职</w:t>
            </w:r>
          </w:p>
          <w:p>
            <w:pPr>
              <w:pStyle w:val="75"/>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时间</w:t>
            </w:r>
          </w:p>
        </w:tc>
        <w:tc>
          <w:tcPr>
            <w:tcW w:w="2268" w:type="dxa"/>
            <w:tcBorders>
              <w:top w:val="single" w:color="auto" w:sz="4" w:space="0"/>
              <w:left w:val="single" w:color="auto" w:sz="4" w:space="0"/>
              <w:right w:val="single" w:color="auto" w:sz="4" w:space="0"/>
            </w:tcBorders>
            <w:shd w:val="pct10" w:color="auto" w:fill="auto"/>
            <w:vAlign w:val="center"/>
          </w:tcPr>
          <w:p>
            <w:pPr>
              <w:pStyle w:val="75"/>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在本项目中承担的服务</w:t>
            </w:r>
          </w:p>
        </w:tc>
        <w:tc>
          <w:tcPr>
            <w:tcW w:w="1560" w:type="dxa"/>
            <w:tcBorders>
              <w:top w:val="single" w:color="auto" w:sz="4" w:space="0"/>
              <w:left w:val="single" w:color="auto" w:sz="4" w:space="0"/>
              <w:right w:val="single" w:color="auto" w:sz="4" w:space="0"/>
            </w:tcBorders>
            <w:shd w:val="pct10" w:color="auto" w:fill="auto"/>
            <w:vAlign w:val="center"/>
          </w:tcPr>
          <w:p>
            <w:pPr>
              <w:pStyle w:val="75"/>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75"/>
              <w:jc w:val="center"/>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2268"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560"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75"/>
              <w:jc w:val="center"/>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2268"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560"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75"/>
              <w:jc w:val="center"/>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2268"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560"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75"/>
              <w:jc w:val="center"/>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2268"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560"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75"/>
              <w:jc w:val="center"/>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2268"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560"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75"/>
              <w:jc w:val="center"/>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2268"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560"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75"/>
              <w:jc w:val="center"/>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2268"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560"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75"/>
              <w:jc w:val="center"/>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2268"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560" w:type="dxa"/>
            <w:tcBorders>
              <w:left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75"/>
              <w:jc w:val="center"/>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2268" w:type="dxa"/>
            <w:tcBorders>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c>
          <w:tcPr>
            <w:tcW w:w="1560" w:type="dxa"/>
            <w:tcBorders>
              <w:left w:val="single" w:color="auto" w:sz="4" w:space="0"/>
              <w:bottom w:val="single" w:color="auto" w:sz="4" w:space="0"/>
              <w:right w:val="single" w:color="auto" w:sz="4" w:space="0"/>
            </w:tcBorders>
          </w:tcPr>
          <w:p>
            <w:pPr>
              <w:pStyle w:val="75"/>
              <w:rPr>
                <w:rFonts w:hint="eastAsia" w:ascii="宋体" w:hAnsi="宋体" w:eastAsia="宋体" w:cs="宋体"/>
                <w:color w:val="000000" w:themeColor="text1"/>
                <w:sz w:val="24"/>
                <w:highlight w:val="none"/>
                <w14:textFill>
                  <w14:solidFill>
                    <w14:schemeClr w14:val="tx1"/>
                  </w14:solidFill>
                </w14:textFill>
              </w:rPr>
            </w:pPr>
          </w:p>
        </w:tc>
      </w:tr>
    </w:tbl>
    <w:p>
      <w:pPr>
        <w:spacing w:line="360" w:lineRule="auto"/>
        <w:ind w:firstLine="840" w:firstLineChars="350"/>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说明：后附相关证明材料的复印件。</w:t>
      </w:r>
    </w:p>
    <w:p>
      <w:pPr>
        <w:autoSpaceDE w:val="0"/>
        <w:autoSpaceDN w:val="0"/>
        <w:adjustRightInd w:val="0"/>
        <w:spacing w:line="500" w:lineRule="exact"/>
        <w:jc w:val="center"/>
        <w:rPr>
          <w:rFonts w:ascii="宋体" w:hAnsi="宋体" w:cs="宋体"/>
          <w:b/>
          <w:color w:val="000000" w:themeColor="text1"/>
          <w:sz w:val="24"/>
          <w:szCs w:val="24"/>
          <w14:textFill>
            <w14:solidFill>
              <w14:schemeClr w14:val="tx1"/>
            </w14:solidFill>
          </w14:textFill>
        </w:rPr>
      </w:pPr>
    </w:p>
    <w:p>
      <w:pPr>
        <w:spacing w:line="360" w:lineRule="auto"/>
        <w:jc w:val="left"/>
        <w:rPr>
          <w:rFonts w:ascii="宋体" w:hAnsi="宋体" w:cs="宋体"/>
          <w:color w:val="000000" w:themeColor="text1"/>
          <w:sz w:val="28"/>
          <w:szCs w:val="28"/>
          <w14:textFill>
            <w14:solidFill>
              <w14:schemeClr w14:val="tx1"/>
            </w14:solidFill>
          </w14:textFill>
        </w:rPr>
      </w:pPr>
    </w:p>
    <w:p>
      <w:pPr>
        <w:spacing w:line="360" w:lineRule="auto"/>
        <w:jc w:val="left"/>
        <w:rPr>
          <w:rFonts w:ascii="宋体" w:hAnsi="宋体" w:cs="宋体"/>
          <w:color w:val="000000" w:themeColor="text1"/>
          <w:sz w:val="28"/>
          <w:szCs w:val="28"/>
          <w14:textFill>
            <w14:solidFill>
              <w14:schemeClr w14:val="tx1"/>
            </w14:solidFill>
          </w14:textFill>
        </w:rPr>
      </w:pPr>
    </w:p>
    <w:p>
      <w:pPr>
        <w:spacing w:line="360" w:lineRule="auto"/>
        <w:jc w:val="left"/>
        <w:rPr>
          <w:rFonts w:ascii="宋体" w:hAnsi="宋体" w:cs="宋体"/>
          <w:color w:val="000000" w:themeColor="text1"/>
          <w:sz w:val="28"/>
          <w:szCs w:val="28"/>
          <w14:textFill>
            <w14:solidFill>
              <w14:schemeClr w14:val="tx1"/>
            </w14:solidFill>
          </w14:textFill>
        </w:rPr>
      </w:pPr>
    </w:p>
    <w:p>
      <w:pPr>
        <w:tabs>
          <w:tab w:val="left" w:pos="6222"/>
        </w:tabs>
        <w:spacing w:line="360" w:lineRule="auto"/>
        <w:ind w:left="120" w:leftChars="57" w:firstLine="3220" w:firstLineChars="1150"/>
        <w:jc w:val="left"/>
        <w:rPr>
          <w:rFonts w:ascii="宋体" w:hAnsi="宋体"/>
          <w:b/>
          <w:color w:val="000000" w:themeColor="text1"/>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br w:type="page"/>
      </w:r>
    </w:p>
    <w:p>
      <w:pPr>
        <w:pStyle w:val="94"/>
        <w:jc w:val="center"/>
        <w:rPr>
          <w:rFonts w:asciiTheme="minorEastAsia" w:hAnsiTheme="minorEastAsia" w:eastAsiaTheme="minorEastAsia" w:cstheme="minorEastAsia"/>
          <w:color w:val="000000" w:themeColor="text1"/>
          <w:sz w:val="28"/>
          <w:szCs w:val="28"/>
          <w14:textFill>
            <w14:solidFill>
              <w14:schemeClr w14:val="tx1"/>
            </w14:solidFill>
          </w14:textFill>
        </w:rPr>
      </w:pPr>
      <w:bookmarkStart w:id="492" w:name="_Toc15049"/>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、投标人认为需要提供的其他材料</w:t>
      </w:r>
      <w:bookmarkEnd w:id="492"/>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pStyle w:val="2"/>
        <w:rPr>
          <w:color w:val="000000" w:themeColor="text1"/>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spacing w:line="440" w:lineRule="exact"/>
        <w:jc w:val="center"/>
        <w:rPr>
          <w:rFonts w:ascii="宋体" w:hAnsi="宋体"/>
          <w:color w:val="000000" w:themeColor="text1"/>
          <w:sz w:val="32"/>
          <w:szCs w:val="32"/>
          <w:u w:val="single"/>
          <w14:textFill>
            <w14:solidFill>
              <w14:schemeClr w14:val="tx1"/>
            </w14:solidFill>
          </w14:textFill>
        </w:rPr>
      </w:pPr>
    </w:p>
    <w:p>
      <w:pPr>
        <w:pStyle w:val="5"/>
        <w:spacing w:before="0" w:after="0" w:line="460" w:lineRule="exact"/>
        <w:rPr>
          <w:color w:val="000000" w:themeColor="text1"/>
          <w14:textFill>
            <w14:solidFill>
              <w14:schemeClr w14:val="tx1"/>
            </w14:solidFill>
          </w14:textFill>
        </w:rPr>
      </w:pPr>
      <w:bookmarkStart w:id="493" w:name="_Toc19739"/>
      <w:bookmarkStart w:id="494" w:name="_Toc19600"/>
      <w:bookmarkStart w:id="495" w:name="_Toc10065"/>
      <w:bookmarkStart w:id="496" w:name="_Toc19885"/>
      <w:r>
        <w:rPr>
          <w:rFonts w:hint="eastAsia"/>
          <w:color w:val="000000" w:themeColor="text1"/>
          <w14:textFill>
            <w14:solidFill>
              <w14:schemeClr w14:val="tx1"/>
            </w14:solidFill>
          </w14:textFill>
        </w:rPr>
        <w:t>技术文件</w:t>
      </w:r>
      <w:bookmarkEnd w:id="493"/>
      <w:bookmarkEnd w:id="494"/>
      <w:bookmarkEnd w:id="495"/>
      <w:bookmarkEnd w:id="496"/>
    </w:p>
    <w:p>
      <w:pPr>
        <w:rPr>
          <w:color w:val="000000" w:themeColor="text1"/>
          <w14:textFill>
            <w14:solidFill>
              <w14:schemeClr w14:val="tx1"/>
            </w14:solidFill>
          </w14:textFill>
        </w:rPr>
      </w:pPr>
    </w:p>
    <w:p>
      <w:pPr>
        <w:jc w:val="center"/>
        <w:outlineLvl w:val="0"/>
        <w:rPr>
          <w:rFonts w:ascii="宋体" w:hAnsi="宋体" w:cs="宋体"/>
          <w:b/>
          <w:color w:val="000000" w:themeColor="text1"/>
          <w:sz w:val="28"/>
          <w14:textFill>
            <w14:solidFill>
              <w14:schemeClr w14:val="tx1"/>
            </w14:solidFill>
          </w14:textFill>
        </w:rPr>
      </w:pPr>
      <w:bookmarkStart w:id="497" w:name="_Toc32539"/>
      <w:bookmarkStart w:id="498" w:name="_Toc16411"/>
      <w:bookmarkStart w:id="499" w:name="_Toc20871"/>
      <w:bookmarkStart w:id="500" w:name="_Toc11482"/>
      <w:r>
        <w:rPr>
          <w:rFonts w:hint="eastAsia" w:ascii="宋体" w:hAnsi="宋体" w:cs="宋体"/>
          <w:b/>
          <w:color w:val="000000" w:themeColor="text1"/>
          <w:sz w:val="28"/>
          <w14:textFill>
            <w14:solidFill>
              <w14:schemeClr w14:val="tx1"/>
            </w14:solidFill>
          </w14:textFill>
        </w:rPr>
        <w:t>编  制  说  明</w:t>
      </w:r>
      <w:bookmarkEnd w:id="497"/>
      <w:bookmarkEnd w:id="498"/>
      <w:bookmarkEnd w:id="499"/>
      <w:bookmarkEnd w:id="500"/>
    </w:p>
    <w:p>
      <w:pPr>
        <w:jc w:val="center"/>
        <w:rPr>
          <w:rFonts w:ascii="宋体" w:hAnsi="宋体" w:cs="宋体"/>
          <w:b/>
          <w:color w:val="000000" w:themeColor="text1"/>
          <w:sz w:val="28"/>
          <w14:textFill>
            <w14:solidFill>
              <w14:schemeClr w14:val="tx1"/>
            </w14:solidFill>
          </w14:textFill>
        </w:rPr>
      </w:pPr>
    </w:p>
    <w:p>
      <w:pPr>
        <w:tabs>
          <w:tab w:val="left" w:pos="1365"/>
        </w:tabs>
        <w:spacing w:line="360" w:lineRule="auto"/>
        <w:ind w:firstLine="560" w:firstLineChars="200"/>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由各投标人根据参考格式要求自行编写。目录清晰、内容详尽、易于理解和评审并富有建设性的技术方案将在评审时具有优势。具体内容应包括但不限于：</w:t>
      </w:r>
    </w:p>
    <w:p>
      <w:pPr>
        <w:tabs>
          <w:tab w:val="left" w:pos="1365"/>
        </w:tabs>
        <w:spacing w:line="360" w:lineRule="auto"/>
        <w:ind w:firstLine="565" w:firstLineChars="202"/>
        <w:jc w:val="left"/>
        <w:outlineLvl w:val="0"/>
        <w:rPr>
          <w:rFonts w:ascii="宋体" w:hAnsi="宋体" w:cs="宋体"/>
          <w:color w:val="000000" w:themeColor="text1"/>
          <w:sz w:val="28"/>
          <w:szCs w:val="28"/>
          <w14:textFill>
            <w14:solidFill>
              <w14:schemeClr w14:val="tx1"/>
            </w14:solidFill>
          </w14:textFill>
        </w:rPr>
      </w:pPr>
      <w:bookmarkStart w:id="501" w:name="_Toc29802"/>
      <w:bookmarkStart w:id="502" w:name="_Toc31070"/>
      <w:bookmarkStart w:id="503" w:name="_Toc10248"/>
      <w:bookmarkStart w:id="504" w:name="_Toc23508"/>
      <w:r>
        <w:rPr>
          <w:rFonts w:hint="eastAsia" w:ascii="宋体" w:hAnsi="宋体" w:cs="宋体"/>
          <w:color w:val="000000" w:themeColor="text1"/>
          <w:sz w:val="28"/>
          <w:szCs w:val="28"/>
          <w14:textFill>
            <w14:solidFill>
              <w14:schemeClr w14:val="tx1"/>
            </w14:solidFill>
          </w14:textFill>
        </w:rPr>
        <w:t>1、技术文件目录（目录须涵盖下述所有资料页码清晰，以便查阅）；</w:t>
      </w:r>
      <w:bookmarkEnd w:id="501"/>
      <w:bookmarkEnd w:id="502"/>
      <w:bookmarkEnd w:id="503"/>
      <w:bookmarkEnd w:id="504"/>
    </w:p>
    <w:p>
      <w:pPr>
        <w:tabs>
          <w:tab w:val="left" w:pos="1365"/>
        </w:tabs>
        <w:spacing w:line="360" w:lineRule="auto"/>
        <w:ind w:firstLine="565" w:firstLineChars="202"/>
        <w:jc w:val="left"/>
        <w:outlineLvl w:val="0"/>
        <w:rPr>
          <w:rFonts w:ascii="宋体" w:hAnsi="宋体" w:cs="宋体"/>
          <w:color w:val="000000" w:themeColor="text1"/>
          <w:sz w:val="28"/>
          <w:szCs w:val="28"/>
          <w14:textFill>
            <w14:solidFill>
              <w14:schemeClr w14:val="tx1"/>
            </w14:solidFill>
          </w14:textFill>
        </w:rPr>
      </w:pPr>
      <w:bookmarkStart w:id="505" w:name="_Toc31139"/>
      <w:bookmarkStart w:id="506" w:name="_Toc4985"/>
      <w:bookmarkStart w:id="507" w:name="_Toc17155"/>
      <w:bookmarkStart w:id="508" w:name="_Toc16279"/>
      <w:r>
        <w:rPr>
          <w:rFonts w:hint="eastAsia" w:ascii="宋体" w:hAnsi="宋体" w:cs="宋体"/>
          <w:color w:val="000000" w:themeColor="text1"/>
          <w:sz w:val="28"/>
          <w:szCs w:val="28"/>
          <w14:textFill>
            <w14:solidFill>
              <w14:schemeClr w14:val="tx1"/>
            </w14:solidFill>
          </w14:textFill>
        </w:rPr>
        <w:t>2、招标文件第三章评标办法技术评审中要求的评审内容；</w:t>
      </w:r>
      <w:bookmarkEnd w:id="505"/>
      <w:bookmarkEnd w:id="506"/>
      <w:bookmarkEnd w:id="507"/>
      <w:bookmarkEnd w:id="508"/>
    </w:p>
    <w:p>
      <w:pPr>
        <w:tabs>
          <w:tab w:val="left" w:pos="1365"/>
        </w:tabs>
        <w:spacing w:line="360" w:lineRule="auto"/>
        <w:ind w:firstLine="565" w:firstLineChars="202"/>
        <w:jc w:val="left"/>
        <w:outlineLvl w:val="0"/>
        <w:rPr>
          <w:rFonts w:ascii="宋体" w:hAnsi="宋体" w:cs="宋体"/>
          <w:color w:val="000000" w:themeColor="text1"/>
          <w:sz w:val="28"/>
          <w:szCs w:val="28"/>
          <w14:textFill>
            <w14:solidFill>
              <w14:schemeClr w14:val="tx1"/>
            </w14:solidFill>
          </w14:textFill>
        </w:rPr>
      </w:pPr>
      <w:bookmarkStart w:id="509" w:name="_Toc5784"/>
      <w:bookmarkStart w:id="510" w:name="_Toc4060"/>
      <w:bookmarkStart w:id="511" w:name="_Toc27259"/>
      <w:bookmarkStart w:id="512" w:name="_Toc32684"/>
      <w:r>
        <w:rPr>
          <w:rFonts w:hint="eastAsia" w:ascii="宋体" w:hAnsi="宋体" w:cs="宋体"/>
          <w:color w:val="000000" w:themeColor="text1"/>
          <w:sz w:val="28"/>
          <w:szCs w:val="28"/>
          <w14:textFill>
            <w14:solidFill>
              <w14:schemeClr w14:val="tx1"/>
            </w14:solidFill>
          </w14:textFill>
        </w:rPr>
        <w:t>3、招标文件要求提供或投标人认为需提供的其它资料。</w:t>
      </w:r>
      <w:bookmarkEnd w:id="509"/>
      <w:bookmarkEnd w:id="510"/>
      <w:bookmarkEnd w:id="511"/>
      <w:bookmarkEnd w:id="512"/>
    </w:p>
    <w:p>
      <w:pPr>
        <w:tabs>
          <w:tab w:val="left" w:pos="1365"/>
        </w:tabs>
        <w:spacing w:line="360" w:lineRule="auto"/>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说明：投标文件技术服务文件的编制原则，一是按文件要求，提供相应说明、资料、表格以证明所投服务是否响应招标文件要求；二是对应项目评审标准，充分体现所投服务对于评分标准的响应程度和优势。</w:t>
      </w:r>
    </w:p>
    <w:p>
      <w:pPr>
        <w:spacing w:line="500" w:lineRule="exact"/>
        <w:ind w:firstLine="840" w:firstLineChars="3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注明：各投标人根据项目的需要参照以上内容制作响应文件。</w:t>
      </w:r>
    </w:p>
    <w:p>
      <w:pPr>
        <w:spacing w:line="440" w:lineRule="exact"/>
        <w:jc w:val="center"/>
        <w:rPr>
          <w:rFonts w:ascii="宋体" w:hAnsi="宋体"/>
          <w:color w:val="000000" w:themeColor="text1"/>
          <w:sz w:val="24"/>
          <w:szCs w:val="24"/>
          <w:u w:val="single"/>
          <w14:textFill>
            <w14:solidFill>
              <w14:schemeClr w14:val="tx1"/>
            </w14:solidFill>
          </w14:textFill>
        </w:rPr>
      </w:pPr>
    </w:p>
    <w:p>
      <w:pPr>
        <w:autoSpaceDE w:val="0"/>
        <w:autoSpaceDN w:val="0"/>
        <w:adjustRightInd w:val="0"/>
        <w:spacing w:line="500" w:lineRule="exact"/>
        <w:jc w:val="center"/>
        <w:rPr>
          <w:rFonts w:ascii="宋体" w:hAnsi="宋体"/>
          <w:b/>
          <w:color w:val="000000" w:themeColor="text1"/>
          <w:sz w:val="28"/>
          <w:szCs w:val="32"/>
          <w14:textFill>
            <w14:solidFill>
              <w14:schemeClr w14:val="tx1"/>
            </w14:solidFill>
          </w14:textFill>
        </w:rPr>
      </w:pPr>
    </w:p>
    <w:p>
      <w:pPr>
        <w:autoSpaceDE w:val="0"/>
        <w:autoSpaceDN w:val="0"/>
        <w:adjustRightInd w:val="0"/>
        <w:spacing w:line="500" w:lineRule="exact"/>
        <w:jc w:val="center"/>
        <w:rPr>
          <w:rFonts w:ascii="宋体" w:hAnsi="宋体"/>
          <w:b/>
          <w:color w:val="000000" w:themeColor="text1"/>
          <w:sz w:val="28"/>
          <w:szCs w:val="32"/>
          <w14:textFill>
            <w14:solidFill>
              <w14:schemeClr w14:val="tx1"/>
            </w14:solidFill>
          </w14:textFill>
        </w:rPr>
      </w:pPr>
    </w:p>
    <w:p>
      <w:pPr>
        <w:autoSpaceDE w:val="0"/>
        <w:autoSpaceDN w:val="0"/>
        <w:adjustRightInd w:val="0"/>
        <w:spacing w:line="500" w:lineRule="exact"/>
        <w:jc w:val="center"/>
        <w:rPr>
          <w:rFonts w:ascii="宋体" w:hAnsi="宋体"/>
          <w:b/>
          <w:color w:val="000000" w:themeColor="text1"/>
          <w:sz w:val="28"/>
          <w:szCs w:val="32"/>
          <w14:textFill>
            <w14:solidFill>
              <w14:schemeClr w14:val="tx1"/>
            </w14:solidFill>
          </w14:textFill>
        </w:rPr>
      </w:pPr>
    </w:p>
    <w:bookmarkEnd w:id="472"/>
    <w:p>
      <w:pPr>
        <w:spacing w:line="500" w:lineRule="exact"/>
        <w:rPr>
          <w:rFonts w:ascii="宋体" w:hAnsi="宋体" w:cs="宋体"/>
          <w:color w:val="000000" w:themeColor="text1"/>
          <w14:textFill>
            <w14:solidFill>
              <w14:schemeClr w14:val="tx1"/>
            </w14:solidFill>
          </w14:textFill>
        </w:rPr>
      </w:pPr>
    </w:p>
    <w:sectPr>
      <w:footerReference r:id="rId4" w:type="default"/>
      <w:footerReference r:id="rId5" w:type="even"/>
      <w:type w:val="continuous"/>
      <w:pgSz w:w="11907" w:h="16840"/>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w:pict>
        <v:shape id="_x0000_s3073" o:spid="_x0000_s3073" o:spt="202" type="#_x0000_t202" style="position:absolute;left:0pt;margin-top:0pt;height:10.35pt;width:9.05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">
          <v:path/>
          <v:fill on="f" focussize="0,0"/>
          <v:stroke on="f" joinstyle="miter"/>
          <v:imagedata o:title=""/>
          <o:lock v:ext="edit"/>
          <v:textbox inset="0mm,0mm,0mm,0mm" style="mso-fit-shape-to-text:t;">
            <w:txbxContent>
              <w:p>
                <w:pPr>
                  <w:pStyle w:val="30"/>
                </w:pPr>
                <w:r>
                  <w:fldChar w:fldCharType="begin"/>
                </w:r>
                <w:r>
                  <w:instrText xml:space="preserve"> PAGE  \* MERGEFORMAT </w:instrText>
                </w:r>
                <w:r>
                  <w:fldChar w:fldCharType="separate"/>
                </w:r>
                <w:r>
                  <w:t>51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8"/>
      </w:rPr>
    </w:pPr>
    <w:r>
      <w:fldChar w:fldCharType="begin"/>
    </w:r>
    <w:r>
      <w:rPr>
        <w:rStyle w:val="48"/>
      </w:rPr>
      <w:instrText xml:space="preserve">PAGE  </w:instrText>
    </w:r>
    <w:r>
      <w:fldChar w:fldCharType="end"/>
    </w:r>
  </w:p>
  <w:p>
    <w:pPr>
      <w:pStyle w:val="3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17"/>
      <w:lvlText w:val=""/>
      <w:lvlJc w:val="left"/>
      <w:pPr>
        <w:tabs>
          <w:tab w:val="left" w:pos="360"/>
        </w:tabs>
        <w:ind w:left="360" w:hanging="360"/>
      </w:pPr>
      <w:rPr>
        <w:rFonts w:hint="default" w:ascii="Wingdings" w:hAnsi="Wingdings"/>
      </w:rPr>
    </w:lvl>
  </w:abstractNum>
  <w:abstractNum w:abstractNumId="1">
    <w:nsid w:val="05FD2DAB"/>
    <w:multiLevelType w:val="singleLevel"/>
    <w:tmpl w:val="05FD2DAB"/>
    <w:lvl w:ilvl="0" w:tentative="0">
      <w:start w:val="1"/>
      <w:numFmt w:val="decimal"/>
      <w:suff w:val="space"/>
      <w:lvlText w:val="%1."/>
      <w:lvlJc w:val="left"/>
    </w:lvl>
  </w:abstractNum>
  <w:abstractNum w:abstractNumId="2">
    <w:nsid w:val="0E574A54"/>
    <w:multiLevelType w:val="multilevel"/>
    <w:tmpl w:val="0E574A54"/>
    <w:lvl w:ilvl="0" w:tentative="0">
      <w:start w:val="1"/>
      <w:numFmt w:val="japaneseCounting"/>
      <w:pStyle w:val="169"/>
      <w:lvlText w:val="第%1条"/>
      <w:lvlJc w:val="left"/>
      <w:pPr>
        <w:tabs>
          <w:tab w:val="left" w:pos="2850"/>
        </w:tabs>
        <w:ind w:left="2850" w:hanging="1770"/>
      </w:pPr>
      <w:rPr>
        <w:rFonts w:hint="eastAsia" w:ascii="黑体" w:eastAsia="黑体"/>
        <w:b/>
        <w:i w:val="0"/>
        <w:sz w:val="32"/>
        <w:szCs w:val="32"/>
        <w:lang w:val="en-US"/>
      </w:r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abstractNum w:abstractNumId="3">
    <w:nsid w:val="561137FC"/>
    <w:multiLevelType w:val="singleLevel"/>
    <w:tmpl w:val="561137FC"/>
    <w:lvl w:ilvl="0" w:tentative="0">
      <w:start w:val="2"/>
      <w:numFmt w:val="chineseCounting"/>
      <w:suff w:val="space"/>
      <w:lvlText w:val="第%1章"/>
      <w:lvlJc w:val="left"/>
      <w:rPr>
        <w:rFonts w:hint="eastAsia"/>
      </w:rPr>
    </w:lvl>
  </w:abstractNum>
  <w:abstractNum w:abstractNumId="4">
    <w:nsid w:val="5987A083"/>
    <w:multiLevelType w:val="singleLevel"/>
    <w:tmpl w:val="5987A083"/>
    <w:lvl w:ilvl="0" w:tentative="0">
      <w:start w:val="5"/>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BC6808"/>
    <w:rsid w:val="000005D1"/>
    <w:rsid w:val="0000253E"/>
    <w:rsid w:val="00007016"/>
    <w:rsid w:val="00007A31"/>
    <w:rsid w:val="000126FF"/>
    <w:rsid w:val="00012E85"/>
    <w:rsid w:val="00013815"/>
    <w:rsid w:val="00017912"/>
    <w:rsid w:val="00031D6C"/>
    <w:rsid w:val="0003459B"/>
    <w:rsid w:val="00037BFA"/>
    <w:rsid w:val="00043588"/>
    <w:rsid w:val="00043D32"/>
    <w:rsid w:val="0004682D"/>
    <w:rsid w:val="000470D2"/>
    <w:rsid w:val="0005355A"/>
    <w:rsid w:val="00054F6D"/>
    <w:rsid w:val="0006080A"/>
    <w:rsid w:val="00061C46"/>
    <w:rsid w:val="00063156"/>
    <w:rsid w:val="00076033"/>
    <w:rsid w:val="0008151D"/>
    <w:rsid w:val="00086DD9"/>
    <w:rsid w:val="000923B3"/>
    <w:rsid w:val="000927DD"/>
    <w:rsid w:val="00093B13"/>
    <w:rsid w:val="0009474A"/>
    <w:rsid w:val="00095563"/>
    <w:rsid w:val="00095727"/>
    <w:rsid w:val="000A3FFD"/>
    <w:rsid w:val="000A604A"/>
    <w:rsid w:val="000B0444"/>
    <w:rsid w:val="000B5407"/>
    <w:rsid w:val="000B7723"/>
    <w:rsid w:val="000C0111"/>
    <w:rsid w:val="000C04F1"/>
    <w:rsid w:val="000C4FE9"/>
    <w:rsid w:val="000C6ABD"/>
    <w:rsid w:val="000D38F1"/>
    <w:rsid w:val="000D3BA7"/>
    <w:rsid w:val="000D600A"/>
    <w:rsid w:val="000E2789"/>
    <w:rsid w:val="000E57E1"/>
    <w:rsid w:val="000E7E4D"/>
    <w:rsid w:val="000F2AC1"/>
    <w:rsid w:val="000F3A17"/>
    <w:rsid w:val="000F4BFE"/>
    <w:rsid w:val="000F7659"/>
    <w:rsid w:val="00100C4C"/>
    <w:rsid w:val="001056AF"/>
    <w:rsid w:val="00106057"/>
    <w:rsid w:val="00106C16"/>
    <w:rsid w:val="00107C61"/>
    <w:rsid w:val="00110900"/>
    <w:rsid w:val="00115DD2"/>
    <w:rsid w:val="001239F2"/>
    <w:rsid w:val="00123DAE"/>
    <w:rsid w:val="001245C7"/>
    <w:rsid w:val="00124701"/>
    <w:rsid w:val="00131F51"/>
    <w:rsid w:val="00132029"/>
    <w:rsid w:val="00132CD4"/>
    <w:rsid w:val="00137F93"/>
    <w:rsid w:val="001424B5"/>
    <w:rsid w:val="00144332"/>
    <w:rsid w:val="0015068E"/>
    <w:rsid w:val="001517A8"/>
    <w:rsid w:val="00155129"/>
    <w:rsid w:val="001566A4"/>
    <w:rsid w:val="001569FB"/>
    <w:rsid w:val="00161F0F"/>
    <w:rsid w:val="00162FB9"/>
    <w:rsid w:val="00164689"/>
    <w:rsid w:val="00164A9C"/>
    <w:rsid w:val="00165104"/>
    <w:rsid w:val="00166D3E"/>
    <w:rsid w:val="00170461"/>
    <w:rsid w:val="00175B94"/>
    <w:rsid w:val="00180471"/>
    <w:rsid w:val="00181926"/>
    <w:rsid w:val="00182BE0"/>
    <w:rsid w:val="001837CC"/>
    <w:rsid w:val="00187466"/>
    <w:rsid w:val="0019422E"/>
    <w:rsid w:val="001A0703"/>
    <w:rsid w:val="001A1483"/>
    <w:rsid w:val="001A1493"/>
    <w:rsid w:val="001A6646"/>
    <w:rsid w:val="001B10A5"/>
    <w:rsid w:val="001B40A3"/>
    <w:rsid w:val="001C1127"/>
    <w:rsid w:val="001C3456"/>
    <w:rsid w:val="001D0C91"/>
    <w:rsid w:val="001D17D3"/>
    <w:rsid w:val="001D3123"/>
    <w:rsid w:val="001D7B52"/>
    <w:rsid w:val="001F1FC8"/>
    <w:rsid w:val="00202AFB"/>
    <w:rsid w:val="0021279A"/>
    <w:rsid w:val="00214D8B"/>
    <w:rsid w:val="00216BD9"/>
    <w:rsid w:val="00231510"/>
    <w:rsid w:val="002340AF"/>
    <w:rsid w:val="00240810"/>
    <w:rsid w:val="00243579"/>
    <w:rsid w:val="00250182"/>
    <w:rsid w:val="002502CC"/>
    <w:rsid w:val="002530C0"/>
    <w:rsid w:val="0025322F"/>
    <w:rsid w:val="00253F07"/>
    <w:rsid w:val="00255361"/>
    <w:rsid w:val="00256F0E"/>
    <w:rsid w:val="00260B19"/>
    <w:rsid w:val="00264A45"/>
    <w:rsid w:val="0027016D"/>
    <w:rsid w:val="00270226"/>
    <w:rsid w:val="00270EB8"/>
    <w:rsid w:val="002747F9"/>
    <w:rsid w:val="0027480E"/>
    <w:rsid w:val="002753ED"/>
    <w:rsid w:val="00276AAC"/>
    <w:rsid w:val="002853AA"/>
    <w:rsid w:val="002A0150"/>
    <w:rsid w:val="002A440B"/>
    <w:rsid w:val="002A52B8"/>
    <w:rsid w:val="002A6E98"/>
    <w:rsid w:val="002B2409"/>
    <w:rsid w:val="002B3F18"/>
    <w:rsid w:val="002B709B"/>
    <w:rsid w:val="002B7CAE"/>
    <w:rsid w:val="002C0EFA"/>
    <w:rsid w:val="002C145B"/>
    <w:rsid w:val="002C22CE"/>
    <w:rsid w:val="002C4D37"/>
    <w:rsid w:val="002C5F23"/>
    <w:rsid w:val="002C6DBB"/>
    <w:rsid w:val="002C7821"/>
    <w:rsid w:val="002C7EC2"/>
    <w:rsid w:val="002D0A3A"/>
    <w:rsid w:val="002D4026"/>
    <w:rsid w:val="002D4108"/>
    <w:rsid w:val="002D488E"/>
    <w:rsid w:val="002D4959"/>
    <w:rsid w:val="002D49B2"/>
    <w:rsid w:val="002D4B91"/>
    <w:rsid w:val="002D6B15"/>
    <w:rsid w:val="002D6BB2"/>
    <w:rsid w:val="002D79E3"/>
    <w:rsid w:val="002E1D25"/>
    <w:rsid w:val="002E3856"/>
    <w:rsid w:val="002E5AD9"/>
    <w:rsid w:val="002E7523"/>
    <w:rsid w:val="002E7CD9"/>
    <w:rsid w:val="002F0563"/>
    <w:rsid w:val="002F3CE3"/>
    <w:rsid w:val="002F3D0E"/>
    <w:rsid w:val="00302110"/>
    <w:rsid w:val="003022DA"/>
    <w:rsid w:val="0030699B"/>
    <w:rsid w:val="0031147C"/>
    <w:rsid w:val="00312BDE"/>
    <w:rsid w:val="00313A4F"/>
    <w:rsid w:val="003242B4"/>
    <w:rsid w:val="00325589"/>
    <w:rsid w:val="00344AF5"/>
    <w:rsid w:val="00347673"/>
    <w:rsid w:val="00347682"/>
    <w:rsid w:val="00352115"/>
    <w:rsid w:val="00353DC8"/>
    <w:rsid w:val="003574FC"/>
    <w:rsid w:val="00362661"/>
    <w:rsid w:val="00370271"/>
    <w:rsid w:val="003771F1"/>
    <w:rsid w:val="0038068B"/>
    <w:rsid w:val="00381655"/>
    <w:rsid w:val="00391FC8"/>
    <w:rsid w:val="003945DB"/>
    <w:rsid w:val="00394DB6"/>
    <w:rsid w:val="003A104A"/>
    <w:rsid w:val="003A22D4"/>
    <w:rsid w:val="003A2A2E"/>
    <w:rsid w:val="003A3A87"/>
    <w:rsid w:val="003B242B"/>
    <w:rsid w:val="003B78A7"/>
    <w:rsid w:val="003C05CB"/>
    <w:rsid w:val="003D4747"/>
    <w:rsid w:val="003D4E11"/>
    <w:rsid w:val="003D5B66"/>
    <w:rsid w:val="003E20D6"/>
    <w:rsid w:val="003E3127"/>
    <w:rsid w:val="003E452E"/>
    <w:rsid w:val="003E47CB"/>
    <w:rsid w:val="003E5514"/>
    <w:rsid w:val="003F0533"/>
    <w:rsid w:val="003F0EDE"/>
    <w:rsid w:val="003F12BA"/>
    <w:rsid w:val="003F3456"/>
    <w:rsid w:val="003F3518"/>
    <w:rsid w:val="004017D3"/>
    <w:rsid w:val="00401A22"/>
    <w:rsid w:val="00403AD8"/>
    <w:rsid w:val="004075F6"/>
    <w:rsid w:val="00413188"/>
    <w:rsid w:val="00414B80"/>
    <w:rsid w:val="004219C9"/>
    <w:rsid w:val="00427E5D"/>
    <w:rsid w:val="00432D53"/>
    <w:rsid w:val="00444E58"/>
    <w:rsid w:val="00446039"/>
    <w:rsid w:val="00446C7E"/>
    <w:rsid w:val="004471F8"/>
    <w:rsid w:val="00452783"/>
    <w:rsid w:val="00453887"/>
    <w:rsid w:val="00461CFF"/>
    <w:rsid w:val="00464D50"/>
    <w:rsid w:val="00466225"/>
    <w:rsid w:val="00471C59"/>
    <w:rsid w:val="004738E9"/>
    <w:rsid w:val="0047391D"/>
    <w:rsid w:val="004740CD"/>
    <w:rsid w:val="004742A5"/>
    <w:rsid w:val="00476B8E"/>
    <w:rsid w:val="004776A5"/>
    <w:rsid w:val="00480E05"/>
    <w:rsid w:val="0048104C"/>
    <w:rsid w:val="004815FB"/>
    <w:rsid w:val="00482239"/>
    <w:rsid w:val="00486490"/>
    <w:rsid w:val="004938C0"/>
    <w:rsid w:val="00494AD4"/>
    <w:rsid w:val="00494C5A"/>
    <w:rsid w:val="0049657B"/>
    <w:rsid w:val="00496EC9"/>
    <w:rsid w:val="004970B2"/>
    <w:rsid w:val="004A4232"/>
    <w:rsid w:val="004A48C4"/>
    <w:rsid w:val="004A62B2"/>
    <w:rsid w:val="004A72F1"/>
    <w:rsid w:val="004A7B41"/>
    <w:rsid w:val="004C07E4"/>
    <w:rsid w:val="004C19BC"/>
    <w:rsid w:val="004C3765"/>
    <w:rsid w:val="004C4D28"/>
    <w:rsid w:val="004C50EA"/>
    <w:rsid w:val="004C724D"/>
    <w:rsid w:val="004D0189"/>
    <w:rsid w:val="004D2BD1"/>
    <w:rsid w:val="004D3250"/>
    <w:rsid w:val="004D3ADA"/>
    <w:rsid w:val="004D4078"/>
    <w:rsid w:val="004D432A"/>
    <w:rsid w:val="004E36A3"/>
    <w:rsid w:val="004E40B9"/>
    <w:rsid w:val="004E5B3F"/>
    <w:rsid w:val="004F39AA"/>
    <w:rsid w:val="004F6D58"/>
    <w:rsid w:val="0050531F"/>
    <w:rsid w:val="00510541"/>
    <w:rsid w:val="00514A22"/>
    <w:rsid w:val="005200E1"/>
    <w:rsid w:val="005214A8"/>
    <w:rsid w:val="0052584D"/>
    <w:rsid w:val="005310A0"/>
    <w:rsid w:val="00532C54"/>
    <w:rsid w:val="00532F1B"/>
    <w:rsid w:val="00536502"/>
    <w:rsid w:val="00537952"/>
    <w:rsid w:val="00541A0B"/>
    <w:rsid w:val="00544E6B"/>
    <w:rsid w:val="0054529A"/>
    <w:rsid w:val="005561FB"/>
    <w:rsid w:val="00560249"/>
    <w:rsid w:val="00565361"/>
    <w:rsid w:val="00566712"/>
    <w:rsid w:val="00571CB3"/>
    <w:rsid w:val="005750A9"/>
    <w:rsid w:val="005771C5"/>
    <w:rsid w:val="005773EC"/>
    <w:rsid w:val="00583526"/>
    <w:rsid w:val="00586FC1"/>
    <w:rsid w:val="0058788C"/>
    <w:rsid w:val="00592F48"/>
    <w:rsid w:val="005935E8"/>
    <w:rsid w:val="00594453"/>
    <w:rsid w:val="00595189"/>
    <w:rsid w:val="005959DF"/>
    <w:rsid w:val="0059602E"/>
    <w:rsid w:val="00596082"/>
    <w:rsid w:val="0059673B"/>
    <w:rsid w:val="005A44AD"/>
    <w:rsid w:val="005B26C3"/>
    <w:rsid w:val="005B7D38"/>
    <w:rsid w:val="005D0EF0"/>
    <w:rsid w:val="005D3BE0"/>
    <w:rsid w:val="005D685A"/>
    <w:rsid w:val="005E456F"/>
    <w:rsid w:val="005E4FE8"/>
    <w:rsid w:val="005E68EA"/>
    <w:rsid w:val="005F3B50"/>
    <w:rsid w:val="005F4333"/>
    <w:rsid w:val="0060284F"/>
    <w:rsid w:val="0060581A"/>
    <w:rsid w:val="006103D6"/>
    <w:rsid w:val="00611C72"/>
    <w:rsid w:val="00612817"/>
    <w:rsid w:val="00615FB7"/>
    <w:rsid w:val="006165D1"/>
    <w:rsid w:val="00624AD9"/>
    <w:rsid w:val="0063288D"/>
    <w:rsid w:val="006359E3"/>
    <w:rsid w:val="00636E20"/>
    <w:rsid w:val="0064031D"/>
    <w:rsid w:val="006459AC"/>
    <w:rsid w:val="00646918"/>
    <w:rsid w:val="0065196E"/>
    <w:rsid w:val="006555B6"/>
    <w:rsid w:val="006649A5"/>
    <w:rsid w:val="0066614D"/>
    <w:rsid w:val="00667310"/>
    <w:rsid w:val="00670FA1"/>
    <w:rsid w:val="00675155"/>
    <w:rsid w:val="00677537"/>
    <w:rsid w:val="00680DFD"/>
    <w:rsid w:val="00684D18"/>
    <w:rsid w:val="00687DD1"/>
    <w:rsid w:val="00692286"/>
    <w:rsid w:val="006A1AE3"/>
    <w:rsid w:val="006A4ECC"/>
    <w:rsid w:val="006B1BFF"/>
    <w:rsid w:val="006C00B7"/>
    <w:rsid w:val="006C0B25"/>
    <w:rsid w:val="006C143A"/>
    <w:rsid w:val="006C4359"/>
    <w:rsid w:val="006C6EB3"/>
    <w:rsid w:val="006C78A1"/>
    <w:rsid w:val="006D186A"/>
    <w:rsid w:val="006D4146"/>
    <w:rsid w:val="006D75AF"/>
    <w:rsid w:val="006F05EC"/>
    <w:rsid w:val="006F12CA"/>
    <w:rsid w:val="006F1A5F"/>
    <w:rsid w:val="006F2AF1"/>
    <w:rsid w:val="006F5248"/>
    <w:rsid w:val="006F755C"/>
    <w:rsid w:val="006F7915"/>
    <w:rsid w:val="00705208"/>
    <w:rsid w:val="0071008B"/>
    <w:rsid w:val="0071016A"/>
    <w:rsid w:val="0071114D"/>
    <w:rsid w:val="00711813"/>
    <w:rsid w:val="00711EB5"/>
    <w:rsid w:val="0071222F"/>
    <w:rsid w:val="007138C8"/>
    <w:rsid w:val="0071573D"/>
    <w:rsid w:val="007163E2"/>
    <w:rsid w:val="00721DC7"/>
    <w:rsid w:val="00725403"/>
    <w:rsid w:val="007278F5"/>
    <w:rsid w:val="00730B6A"/>
    <w:rsid w:val="007333BA"/>
    <w:rsid w:val="00735771"/>
    <w:rsid w:val="00745387"/>
    <w:rsid w:val="007455C0"/>
    <w:rsid w:val="00746F29"/>
    <w:rsid w:val="007471AE"/>
    <w:rsid w:val="00752623"/>
    <w:rsid w:val="0075306D"/>
    <w:rsid w:val="007551E0"/>
    <w:rsid w:val="00756556"/>
    <w:rsid w:val="0076011B"/>
    <w:rsid w:val="00763BE2"/>
    <w:rsid w:val="00766853"/>
    <w:rsid w:val="00770300"/>
    <w:rsid w:val="007716AA"/>
    <w:rsid w:val="0077345E"/>
    <w:rsid w:val="00775176"/>
    <w:rsid w:val="00775D02"/>
    <w:rsid w:val="00777301"/>
    <w:rsid w:val="007852CE"/>
    <w:rsid w:val="00790B92"/>
    <w:rsid w:val="00792263"/>
    <w:rsid w:val="0079479D"/>
    <w:rsid w:val="00794C46"/>
    <w:rsid w:val="007965E7"/>
    <w:rsid w:val="007A2BDF"/>
    <w:rsid w:val="007A3250"/>
    <w:rsid w:val="007A460D"/>
    <w:rsid w:val="007A559A"/>
    <w:rsid w:val="007A6836"/>
    <w:rsid w:val="007A7D80"/>
    <w:rsid w:val="007B359F"/>
    <w:rsid w:val="007C2520"/>
    <w:rsid w:val="007C2A7F"/>
    <w:rsid w:val="007C2EE2"/>
    <w:rsid w:val="007C387A"/>
    <w:rsid w:val="007C4874"/>
    <w:rsid w:val="007D12E7"/>
    <w:rsid w:val="007D4728"/>
    <w:rsid w:val="007D5F34"/>
    <w:rsid w:val="007D7696"/>
    <w:rsid w:val="007E5DB9"/>
    <w:rsid w:val="007F0315"/>
    <w:rsid w:val="007F16D1"/>
    <w:rsid w:val="007F5B9D"/>
    <w:rsid w:val="007F69E9"/>
    <w:rsid w:val="007F7082"/>
    <w:rsid w:val="00800891"/>
    <w:rsid w:val="00806385"/>
    <w:rsid w:val="008065C3"/>
    <w:rsid w:val="00807057"/>
    <w:rsid w:val="00815461"/>
    <w:rsid w:val="00815E23"/>
    <w:rsid w:val="0082169E"/>
    <w:rsid w:val="00824C45"/>
    <w:rsid w:val="0082613A"/>
    <w:rsid w:val="0082767B"/>
    <w:rsid w:val="008301C9"/>
    <w:rsid w:val="0083038D"/>
    <w:rsid w:val="00830EE8"/>
    <w:rsid w:val="00836539"/>
    <w:rsid w:val="0083765E"/>
    <w:rsid w:val="00837C57"/>
    <w:rsid w:val="00843FDB"/>
    <w:rsid w:val="0084452B"/>
    <w:rsid w:val="008453FA"/>
    <w:rsid w:val="008513B4"/>
    <w:rsid w:val="00852A22"/>
    <w:rsid w:val="00854399"/>
    <w:rsid w:val="00861B5B"/>
    <w:rsid w:val="00863F0B"/>
    <w:rsid w:val="00866901"/>
    <w:rsid w:val="00867E75"/>
    <w:rsid w:val="00873061"/>
    <w:rsid w:val="00875E31"/>
    <w:rsid w:val="008768D8"/>
    <w:rsid w:val="00882BC0"/>
    <w:rsid w:val="0088311E"/>
    <w:rsid w:val="00883921"/>
    <w:rsid w:val="00890267"/>
    <w:rsid w:val="008909E4"/>
    <w:rsid w:val="00894A7B"/>
    <w:rsid w:val="008A0531"/>
    <w:rsid w:val="008A30EF"/>
    <w:rsid w:val="008A3223"/>
    <w:rsid w:val="008A5837"/>
    <w:rsid w:val="008B1389"/>
    <w:rsid w:val="008B1BF4"/>
    <w:rsid w:val="008B27AF"/>
    <w:rsid w:val="008B6DCD"/>
    <w:rsid w:val="008C4D3F"/>
    <w:rsid w:val="008D0512"/>
    <w:rsid w:val="008D27EA"/>
    <w:rsid w:val="008D41C8"/>
    <w:rsid w:val="008E0A32"/>
    <w:rsid w:val="008E3FAB"/>
    <w:rsid w:val="008E5CC9"/>
    <w:rsid w:val="008F0BBE"/>
    <w:rsid w:val="00900A0D"/>
    <w:rsid w:val="0090386C"/>
    <w:rsid w:val="00906AA3"/>
    <w:rsid w:val="00907976"/>
    <w:rsid w:val="00911AC3"/>
    <w:rsid w:val="009138EB"/>
    <w:rsid w:val="00917E31"/>
    <w:rsid w:val="00924B59"/>
    <w:rsid w:val="0092606E"/>
    <w:rsid w:val="00931821"/>
    <w:rsid w:val="00934B6A"/>
    <w:rsid w:val="009411A2"/>
    <w:rsid w:val="00943618"/>
    <w:rsid w:val="00944090"/>
    <w:rsid w:val="0094648E"/>
    <w:rsid w:val="00947817"/>
    <w:rsid w:val="009516F9"/>
    <w:rsid w:val="00951CFB"/>
    <w:rsid w:val="00952F57"/>
    <w:rsid w:val="00953C3E"/>
    <w:rsid w:val="0096238B"/>
    <w:rsid w:val="00964B57"/>
    <w:rsid w:val="00966D18"/>
    <w:rsid w:val="00967728"/>
    <w:rsid w:val="00967D67"/>
    <w:rsid w:val="00973DE3"/>
    <w:rsid w:val="00974BBC"/>
    <w:rsid w:val="0098071D"/>
    <w:rsid w:val="00982017"/>
    <w:rsid w:val="00982E3A"/>
    <w:rsid w:val="00983791"/>
    <w:rsid w:val="00984E65"/>
    <w:rsid w:val="00985877"/>
    <w:rsid w:val="009926AA"/>
    <w:rsid w:val="0099393E"/>
    <w:rsid w:val="009A0872"/>
    <w:rsid w:val="009A2188"/>
    <w:rsid w:val="009A7DE8"/>
    <w:rsid w:val="009C0190"/>
    <w:rsid w:val="009C435C"/>
    <w:rsid w:val="009C5842"/>
    <w:rsid w:val="009D26DB"/>
    <w:rsid w:val="009E0F99"/>
    <w:rsid w:val="009E1600"/>
    <w:rsid w:val="009E5D68"/>
    <w:rsid w:val="009F40D7"/>
    <w:rsid w:val="009F45F5"/>
    <w:rsid w:val="009F71F4"/>
    <w:rsid w:val="009F734A"/>
    <w:rsid w:val="00A01B0B"/>
    <w:rsid w:val="00A03E2B"/>
    <w:rsid w:val="00A057C1"/>
    <w:rsid w:val="00A05E06"/>
    <w:rsid w:val="00A06710"/>
    <w:rsid w:val="00A068B2"/>
    <w:rsid w:val="00A102C7"/>
    <w:rsid w:val="00A10C7D"/>
    <w:rsid w:val="00A115D6"/>
    <w:rsid w:val="00A1215F"/>
    <w:rsid w:val="00A14AF1"/>
    <w:rsid w:val="00A2188A"/>
    <w:rsid w:val="00A2219C"/>
    <w:rsid w:val="00A23D60"/>
    <w:rsid w:val="00A30B02"/>
    <w:rsid w:val="00A30FCA"/>
    <w:rsid w:val="00A32617"/>
    <w:rsid w:val="00A377B0"/>
    <w:rsid w:val="00A40E78"/>
    <w:rsid w:val="00A41C45"/>
    <w:rsid w:val="00A42569"/>
    <w:rsid w:val="00A45898"/>
    <w:rsid w:val="00A469C7"/>
    <w:rsid w:val="00A57778"/>
    <w:rsid w:val="00A57EE3"/>
    <w:rsid w:val="00A61253"/>
    <w:rsid w:val="00A62629"/>
    <w:rsid w:val="00A62850"/>
    <w:rsid w:val="00A628F8"/>
    <w:rsid w:val="00A72984"/>
    <w:rsid w:val="00A73FE3"/>
    <w:rsid w:val="00A76C5F"/>
    <w:rsid w:val="00A76D8D"/>
    <w:rsid w:val="00A8188C"/>
    <w:rsid w:val="00A9248D"/>
    <w:rsid w:val="00A939D7"/>
    <w:rsid w:val="00A95682"/>
    <w:rsid w:val="00AA0124"/>
    <w:rsid w:val="00AB0866"/>
    <w:rsid w:val="00AB14AC"/>
    <w:rsid w:val="00AC08E1"/>
    <w:rsid w:val="00AC2F49"/>
    <w:rsid w:val="00AC500D"/>
    <w:rsid w:val="00AC51C3"/>
    <w:rsid w:val="00AC7CF9"/>
    <w:rsid w:val="00AD2232"/>
    <w:rsid w:val="00AD3009"/>
    <w:rsid w:val="00AD3C1F"/>
    <w:rsid w:val="00AD4A9A"/>
    <w:rsid w:val="00AD7FAD"/>
    <w:rsid w:val="00AE31C8"/>
    <w:rsid w:val="00AE3F32"/>
    <w:rsid w:val="00AE44F3"/>
    <w:rsid w:val="00AE6223"/>
    <w:rsid w:val="00AF0581"/>
    <w:rsid w:val="00AF0FE8"/>
    <w:rsid w:val="00AF4AD8"/>
    <w:rsid w:val="00B06159"/>
    <w:rsid w:val="00B061AE"/>
    <w:rsid w:val="00B061D0"/>
    <w:rsid w:val="00B13A88"/>
    <w:rsid w:val="00B1560E"/>
    <w:rsid w:val="00B17550"/>
    <w:rsid w:val="00B256E9"/>
    <w:rsid w:val="00B25A6D"/>
    <w:rsid w:val="00B332D5"/>
    <w:rsid w:val="00B36277"/>
    <w:rsid w:val="00B37D5E"/>
    <w:rsid w:val="00B417AE"/>
    <w:rsid w:val="00B427E8"/>
    <w:rsid w:val="00B42E7C"/>
    <w:rsid w:val="00B46010"/>
    <w:rsid w:val="00B51B1D"/>
    <w:rsid w:val="00B5304C"/>
    <w:rsid w:val="00B53BED"/>
    <w:rsid w:val="00B53E4E"/>
    <w:rsid w:val="00B555AB"/>
    <w:rsid w:val="00B555EA"/>
    <w:rsid w:val="00B55724"/>
    <w:rsid w:val="00B61041"/>
    <w:rsid w:val="00B65F6D"/>
    <w:rsid w:val="00B700A1"/>
    <w:rsid w:val="00B717F7"/>
    <w:rsid w:val="00B72471"/>
    <w:rsid w:val="00B75E8B"/>
    <w:rsid w:val="00B76F1F"/>
    <w:rsid w:val="00B7731B"/>
    <w:rsid w:val="00B83E72"/>
    <w:rsid w:val="00B8410B"/>
    <w:rsid w:val="00B903C3"/>
    <w:rsid w:val="00B908EB"/>
    <w:rsid w:val="00B90D18"/>
    <w:rsid w:val="00B941F0"/>
    <w:rsid w:val="00B96399"/>
    <w:rsid w:val="00B97E8F"/>
    <w:rsid w:val="00BA0662"/>
    <w:rsid w:val="00BA50AC"/>
    <w:rsid w:val="00BB0151"/>
    <w:rsid w:val="00BB6230"/>
    <w:rsid w:val="00BC2704"/>
    <w:rsid w:val="00BC29BA"/>
    <w:rsid w:val="00BC2B7E"/>
    <w:rsid w:val="00BC513F"/>
    <w:rsid w:val="00BC6808"/>
    <w:rsid w:val="00BC761B"/>
    <w:rsid w:val="00BD19F8"/>
    <w:rsid w:val="00BD4F07"/>
    <w:rsid w:val="00BD5110"/>
    <w:rsid w:val="00BD6AB0"/>
    <w:rsid w:val="00BD70D1"/>
    <w:rsid w:val="00BE339F"/>
    <w:rsid w:val="00BE48FE"/>
    <w:rsid w:val="00BE79D9"/>
    <w:rsid w:val="00BF064F"/>
    <w:rsid w:val="00BF1227"/>
    <w:rsid w:val="00BF12AA"/>
    <w:rsid w:val="00C02514"/>
    <w:rsid w:val="00C04371"/>
    <w:rsid w:val="00C06AD6"/>
    <w:rsid w:val="00C06FEE"/>
    <w:rsid w:val="00C110CF"/>
    <w:rsid w:val="00C1411D"/>
    <w:rsid w:val="00C15068"/>
    <w:rsid w:val="00C1674A"/>
    <w:rsid w:val="00C22EAF"/>
    <w:rsid w:val="00C2401F"/>
    <w:rsid w:val="00C25164"/>
    <w:rsid w:val="00C32F1A"/>
    <w:rsid w:val="00C342E0"/>
    <w:rsid w:val="00C34DD3"/>
    <w:rsid w:val="00C350E6"/>
    <w:rsid w:val="00C479A8"/>
    <w:rsid w:val="00C50B03"/>
    <w:rsid w:val="00C51815"/>
    <w:rsid w:val="00C54D8E"/>
    <w:rsid w:val="00C5540A"/>
    <w:rsid w:val="00C60430"/>
    <w:rsid w:val="00C62D1C"/>
    <w:rsid w:val="00C64433"/>
    <w:rsid w:val="00C64C1E"/>
    <w:rsid w:val="00C66261"/>
    <w:rsid w:val="00C6738A"/>
    <w:rsid w:val="00C67894"/>
    <w:rsid w:val="00C70A6D"/>
    <w:rsid w:val="00C7199A"/>
    <w:rsid w:val="00C71C82"/>
    <w:rsid w:val="00C7411E"/>
    <w:rsid w:val="00C773C5"/>
    <w:rsid w:val="00C83EF3"/>
    <w:rsid w:val="00C97128"/>
    <w:rsid w:val="00C97345"/>
    <w:rsid w:val="00CA421F"/>
    <w:rsid w:val="00CA5A1A"/>
    <w:rsid w:val="00CA6374"/>
    <w:rsid w:val="00CA67E0"/>
    <w:rsid w:val="00CB1225"/>
    <w:rsid w:val="00CB1333"/>
    <w:rsid w:val="00CB43C7"/>
    <w:rsid w:val="00CB6002"/>
    <w:rsid w:val="00CD09DE"/>
    <w:rsid w:val="00CE1A63"/>
    <w:rsid w:val="00CE2DA8"/>
    <w:rsid w:val="00CE41FE"/>
    <w:rsid w:val="00CF0480"/>
    <w:rsid w:val="00CF769A"/>
    <w:rsid w:val="00D0431C"/>
    <w:rsid w:val="00D07E7C"/>
    <w:rsid w:val="00D10AEF"/>
    <w:rsid w:val="00D12675"/>
    <w:rsid w:val="00D152EB"/>
    <w:rsid w:val="00D24EC6"/>
    <w:rsid w:val="00D32AFA"/>
    <w:rsid w:val="00D36BC3"/>
    <w:rsid w:val="00D37935"/>
    <w:rsid w:val="00D41968"/>
    <w:rsid w:val="00D4201E"/>
    <w:rsid w:val="00D43C6E"/>
    <w:rsid w:val="00D453D8"/>
    <w:rsid w:val="00D47402"/>
    <w:rsid w:val="00D505CC"/>
    <w:rsid w:val="00D5125D"/>
    <w:rsid w:val="00D543B0"/>
    <w:rsid w:val="00D60367"/>
    <w:rsid w:val="00D62033"/>
    <w:rsid w:val="00D63DC6"/>
    <w:rsid w:val="00D64BB6"/>
    <w:rsid w:val="00D64D6E"/>
    <w:rsid w:val="00D70268"/>
    <w:rsid w:val="00D71578"/>
    <w:rsid w:val="00D808F6"/>
    <w:rsid w:val="00D84F5F"/>
    <w:rsid w:val="00D85E5A"/>
    <w:rsid w:val="00D8686B"/>
    <w:rsid w:val="00D94764"/>
    <w:rsid w:val="00D97C0E"/>
    <w:rsid w:val="00DA3336"/>
    <w:rsid w:val="00DB1F07"/>
    <w:rsid w:val="00DB5C9E"/>
    <w:rsid w:val="00DC0548"/>
    <w:rsid w:val="00DC10D4"/>
    <w:rsid w:val="00DC1526"/>
    <w:rsid w:val="00DC4435"/>
    <w:rsid w:val="00DD3BC0"/>
    <w:rsid w:val="00DD643A"/>
    <w:rsid w:val="00DE050B"/>
    <w:rsid w:val="00DE29E5"/>
    <w:rsid w:val="00DE46B6"/>
    <w:rsid w:val="00DF0E7B"/>
    <w:rsid w:val="00DF104C"/>
    <w:rsid w:val="00DF226B"/>
    <w:rsid w:val="00DF4906"/>
    <w:rsid w:val="00DF668B"/>
    <w:rsid w:val="00E10302"/>
    <w:rsid w:val="00E14B62"/>
    <w:rsid w:val="00E17417"/>
    <w:rsid w:val="00E20994"/>
    <w:rsid w:val="00E22566"/>
    <w:rsid w:val="00E2376C"/>
    <w:rsid w:val="00E25321"/>
    <w:rsid w:val="00E25970"/>
    <w:rsid w:val="00E25D74"/>
    <w:rsid w:val="00E31BC4"/>
    <w:rsid w:val="00E32419"/>
    <w:rsid w:val="00E32A71"/>
    <w:rsid w:val="00E35A97"/>
    <w:rsid w:val="00E36600"/>
    <w:rsid w:val="00E378A2"/>
    <w:rsid w:val="00E41EDD"/>
    <w:rsid w:val="00E43BB4"/>
    <w:rsid w:val="00E43F7D"/>
    <w:rsid w:val="00E56741"/>
    <w:rsid w:val="00E56752"/>
    <w:rsid w:val="00E573A6"/>
    <w:rsid w:val="00E604B5"/>
    <w:rsid w:val="00E605EA"/>
    <w:rsid w:val="00E61746"/>
    <w:rsid w:val="00E63BA4"/>
    <w:rsid w:val="00E65BC7"/>
    <w:rsid w:val="00E75C5C"/>
    <w:rsid w:val="00E806E8"/>
    <w:rsid w:val="00E8149B"/>
    <w:rsid w:val="00E8342F"/>
    <w:rsid w:val="00E83E22"/>
    <w:rsid w:val="00E85096"/>
    <w:rsid w:val="00E916E3"/>
    <w:rsid w:val="00E920A2"/>
    <w:rsid w:val="00E932C0"/>
    <w:rsid w:val="00E93D8D"/>
    <w:rsid w:val="00E953FC"/>
    <w:rsid w:val="00EA1339"/>
    <w:rsid w:val="00EA5F71"/>
    <w:rsid w:val="00EB40BE"/>
    <w:rsid w:val="00EB4883"/>
    <w:rsid w:val="00EB7A0E"/>
    <w:rsid w:val="00EC0078"/>
    <w:rsid w:val="00EC0153"/>
    <w:rsid w:val="00EC348E"/>
    <w:rsid w:val="00EC4596"/>
    <w:rsid w:val="00ED2F6B"/>
    <w:rsid w:val="00ED341F"/>
    <w:rsid w:val="00ED398F"/>
    <w:rsid w:val="00ED4C52"/>
    <w:rsid w:val="00ED768F"/>
    <w:rsid w:val="00EE1FF4"/>
    <w:rsid w:val="00EE47E7"/>
    <w:rsid w:val="00EE4B06"/>
    <w:rsid w:val="00EE5D19"/>
    <w:rsid w:val="00EF6178"/>
    <w:rsid w:val="00EF6401"/>
    <w:rsid w:val="00EF6DAD"/>
    <w:rsid w:val="00F01246"/>
    <w:rsid w:val="00F036EE"/>
    <w:rsid w:val="00F04D7A"/>
    <w:rsid w:val="00F07FA8"/>
    <w:rsid w:val="00F2222B"/>
    <w:rsid w:val="00F22D94"/>
    <w:rsid w:val="00F246E9"/>
    <w:rsid w:val="00F25A92"/>
    <w:rsid w:val="00F26A7B"/>
    <w:rsid w:val="00F34712"/>
    <w:rsid w:val="00F37CCF"/>
    <w:rsid w:val="00F44DAD"/>
    <w:rsid w:val="00F45F01"/>
    <w:rsid w:val="00F51B03"/>
    <w:rsid w:val="00F5246F"/>
    <w:rsid w:val="00F55C71"/>
    <w:rsid w:val="00F56870"/>
    <w:rsid w:val="00F57AF2"/>
    <w:rsid w:val="00F602F1"/>
    <w:rsid w:val="00F65FF4"/>
    <w:rsid w:val="00F67ABA"/>
    <w:rsid w:val="00F73BA0"/>
    <w:rsid w:val="00F741C5"/>
    <w:rsid w:val="00F7529B"/>
    <w:rsid w:val="00F800CA"/>
    <w:rsid w:val="00F825C4"/>
    <w:rsid w:val="00F84B08"/>
    <w:rsid w:val="00F86FB7"/>
    <w:rsid w:val="00F902C0"/>
    <w:rsid w:val="00F9428B"/>
    <w:rsid w:val="00F94838"/>
    <w:rsid w:val="00F94A18"/>
    <w:rsid w:val="00F95478"/>
    <w:rsid w:val="00F97810"/>
    <w:rsid w:val="00FA1872"/>
    <w:rsid w:val="00FA2893"/>
    <w:rsid w:val="00FA7B1A"/>
    <w:rsid w:val="00FB6E15"/>
    <w:rsid w:val="00FC1A58"/>
    <w:rsid w:val="00FC2E1E"/>
    <w:rsid w:val="00FC34E2"/>
    <w:rsid w:val="00FC7FA9"/>
    <w:rsid w:val="00FD01CE"/>
    <w:rsid w:val="00FD18D0"/>
    <w:rsid w:val="00FD4F55"/>
    <w:rsid w:val="00FE39B0"/>
    <w:rsid w:val="00FE51AC"/>
    <w:rsid w:val="00FE75F7"/>
    <w:rsid w:val="00FF48F2"/>
    <w:rsid w:val="00FF4969"/>
    <w:rsid w:val="00FF58A8"/>
    <w:rsid w:val="00FF67C8"/>
    <w:rsid w:val="00FF764E"/>
    <w:rsid w:val="012571B9"/>
    <w:rsid w:val="01307F3C"/>
    <w:rsid w:val="01720846"/>
    <w:rsid w:val="018B6860"/>
    <w:rsid w:val="01DA7041"/>
    <w:rsid w:val="01F338D0"/>
    <w:rsid w:val="021A0CBA"/>
    <w:rsid w:val="021D6D77"/>
    <w:rsid w:val="02304280"/>
    <w:rsid w:val="02370503"/>
    <w:rsid w:val="024A54FB"/>
    <w:rsid w:val="02724F4C"/>
    <w:rsid w:val="02753D4C"/>
    <w:rsid w:val="02A64FD9"/>
    <w:rsid w:val="032E4304"/>
    <w:rsid w:val="0335030D"/>
    <w:rsid w:val="035213F1"/>
    <w:rsid w:val="03A13680"/>
    <w:rsid w:val="03B146D2"/>
    <w:rsid w:val="04062C7C"/>
    <w:rsid w:val="041C60DB"/>
    <w:rsid w:val="04507902"/>
    <w:rsid w:val="045F2316"/>
    <w:rsid w:val="04830288"/>
    <w:rsid w:val="04B63438"/>
    <w:rsid w:val="058828FA"/>
    <w:rsid w:val="05CF39AE"/>
    <w:rsid w:val="061E06DE"/>
    <w:rsid w:val="062743A8"/>
    <w:rsid w:val="0650743D"/>
    <w:rsid w:val="07155D28"/>
    <w:rsid w:val="071D4A9C"/>
    <w:rsid w:val="072E1FA4"/>
    <w:rsid w:val="074C0749"/>
    <w:rsid w:val="077527A3"/>
    <w:rsid w:val="077A110A"/>
    <w:rsid w:val="07977BCA"/>
    <w:rsid w:val="080B4737"/>
    <w:rsid w:val="08351D91"/>
    <w:rsid w:val="08402DD9"/>
    <w:rsid w:val="08701807"/>
    <w:rsid w:val="08770438"/>
    <w:rsid w:val="08B43D54"/>
    <w:rsid w:val="08BD527A"/>
    <w:rsid w:val="08E57F72"/>
    <w:rsid w:val="09532244"/>
    <w:rsid w:val="09C93420"/>
    <w:rsid w:val="09D05D77"/>
    <w:rsid w:val="09E8190C"/>
    <w:rsid w:val="0A310842"/>
    <w:rsid w:val="0A60291D"/>
    <w:rsid w:val="0A7A2A98"/>
    <w:rsid w:val="0AA76A14"/>
    <w:rsid w:val="0AB2044E"/>
    <w:rsid w:val="0B077BB6"/>
    <w:rsid w:val="0B0A6112"/>
    <w:rsid w:val="0B170883"/>
    <w:rsid w:val="0B645ED4"/>
    <w:rsid w:val="0B734B6C"/>
    <w:rsid w:val="0BE71C12"/>
    <w:rsid w:val="0C016969"/>
    <w:rsid w:val="0C472D8B"/>
    <w:rsid w:val="0C9A5685"/>
    <w:rsid w:val="0CC1725E"/>
    <w:rsid w:val="0CCD1228"/>
    <w:rsid w:val="0CFC099D"/>
    <w:rsid w:val="0D485220"/>
    <w:rsid w:val="0D6D4BEA"/>
    <w:rsid w:val="0D986C14"/>
    <w:rsid w:val="0D9E15A5"/>
    <w:rsid w:val="0DC6439B"/>
    <w:rsid w:val="0DEA52C6"/>
    <w:rsid w:val="0E033948"/>
    <w:rsid w:val="0E105A66"/>
    <w:rsid w:val="0E1715AB"/>
    <w:rsid w:val="0E4E0BF3"/>
    <w:rsid w:val="0E9257A5"/>
    <w:rsid w:val="0F2E7983"/>
    <w:rsid w:val="0F792B7E"/>
    <w:rsid w:val="0FA413B4"/>
    <w:rsid w:val="0FB22E11"/>
    <w:rsid w:val="0FCB3D6B"/>
    <w:rsid w:val="107312C8"/>
    <w:rsid w:val="10C447E5"/>
    <w:rsid w:val="10EF0577"/>
    <w:rsid w:val="11603D42"/>
    <w:rsid w:val="11AA324A"/>
    <w:rsid w:val="11BA0CE4"/>
    <w:rsid w:val="12257F2C"/>
    <w:rsid w:val="1231384A"/>
    <w:rsid w:val="123D1A42"/>
    <w:rsid w:val="12457753"/>
    <w:rsid w:val="12675BEF"/>
    <w:rsid w:val="12740451"/>
    <w:rsid w:val="12781038"/>
    <w:rsid w:val="12A52775"/>
    <w:rsid w:val="12BE29E7"/>
    <w:rsid w:val="139820B9"/>
    <w:rsid w:val="13B0724D"/>
    <w:rsid w:val="13E31206"/>
    <w:rsid w:val="13F664A4"/>
    <w:rsid w:val="13F818C0"/>
    <w:rsid w:val="144C2E4F"/>
    <w:rsid w:val="14871AB0"/>
    <w:rsid w:val="14BB5370"/>
    <w:rsid w:val="14EC0726"/>
    <w:rsid w:val="150807D2"/>
    <w:rsid w:val="15563645"/>
    <w:rsid w:val="15707D09"/>
    <w:rsid w:val="157C518C"/>
    <w:rsid w:val="157F21E3"/>
    <w:rsid w:val="158B439D"/>
    <w:rsid w:val="158C7EC9"/>
    <w:rsid w:val="15B02999"/>
    <w:rsid w:val="15EC129C"/>
    <w:rsid w:val="161C33D8"/>
    <w:rsid w:val="163C28B8"/>
    <w:rsid w:val="165F5086"/>
    <w:rsid w:val="168C424D"/>
    <w:rsid w:val="17274493"/>
    <w:rsid w:val="17352D1B"/>
    <w:rsid w:val="17800427"/>
    <w:rsid w:val="178C48BC"/>
    <w:rsid w:val="17961763"/>
    <w:rsid w:val="17C67F55"/>
    <w:rsid w:val="182855DF"/>
    <w:rsid w:val="18445D3F"/>
    <w:rsid w:val="1897280D"/>
    <w:rsid w:val="18D02A10"/>
    <w:rsid w:val="19165A87"/>
    <w:rsid w:val="19A70C9D"/>
    <w:rsid w:val="19C4300A"/>
    <w:rsid w:val="19FE51B3"/>
    <w:rsid w:val="1A7B4648"/>
    <w:rsid w:val="1AAF3FEF"/>
    <w:rsid w:val="1B1160D1"/>
    <w:rsid w:val="1B625B9F"/>
    <w:rsid w:val="1B724EEE"/>
    <w:rsid w:val="1B9C063E"/>
    <w:rsid w:val="1BA51044"/>
    <w:rsid w:val="1BE212EF"/>
    <w:rsid w:val="1BF961F5"/>
    <w:rsid w:val="1C025469"/>
    <w:rsid w:val="1CF14CBC"/>
    <w:rsid w:val="1D052AB9"/>
    <w:rsid w:val="1D58601F"/>
    <w:rsid w:val="1DDB46B6"/>
    <w:rsid w:val="1E4D16D4"/>
    <w:rsid w:val="1E676BAD"/>
    <w:rsid w:val="1E687B91"/>
    <w:rsid w:val="1F2075B5"/>
    <w:rsid w:val="1F366FD2"/>
    <w:rsid w:val="1F613C0F"/>
    <w:rsid w:val="1F731D43"/>
    <w:rsid w:val="1FCB5CAB"/>
    <w:rsid w:val="200476F3"/>
    <w:rsid w:val="200B7865"/>
    <w:rsid w:val="20516B4B"/>
    <w:rsid w:val="20E37DB8"/>
    <w:rsid w:val="2133781D"/>
    <w:rsid w:val="213E2E44"/>
    <w:rsid w:val="2162497A"/>
    <w:rsid w:val="21802D41"/>
    <w:rsid w:val="2198762F"/>
    <w:rsid w:val="21A22ECC"/>
    <w:rsid w:val="21B778AA"/>
    <w:rsid w:val="21C06449"/>
    <w:rsid w:val="22CE1943"/>
    <w:rsid w:val="238B45A2"/>
    <w:rsid w:val="23AB20DF"/>
    <w:rsid w:val="24303AA3"/>
    <w:rsid w:val="246151B2"/>
    <w:rsid w:val="24C12853"/>
    <w:rsid w:val="24F1001E"/>
    <w:rsid w:val="253E65E1"/>
    <w:rsid w:val="254678B1"/>
    <w:rsid w:val="265D63CF"/>
    <w:rsid w:val="26C83876"/>
    <w:rsid w:val="26CF7CAE"/>
    <w:rsid w:val="27324A62"/>
    <w:rsid w:val="273B1308"/>
    <w:rsid w:val="2743403B"/>
    <w:rsid w:val="277E707A"/>
    <w:rsid w:val="27F54A8A"/>
    <w:rsid w:val="281679D6"/>
    <w:rsid w:val="28436E12"/>
    <w:rsid w:val="284D54F5"/>
    <w:rsid w:val="28620400"/>
    <w:rsid w:val="28CB0801"/>
    <w:rsid w:val="291250F5"/>
    <w:rsid w:val="29CC2568"/>
    <w:rsid w:val="2A1B11BC"/>
    <w:rsid w:val="2A4F5BBB"/>
    <w:rsid w:val="2A7D7F0E"/>
    <w:rsid w:val="2C057668"/>
    <w:rsid w:val="2C067184"/>
    <w:rsid w:val="2C3A5935"/>
    <w:rsid w:val="2C4C315F"/>
    <w:rsid w:val="2C4E3E93"/>
    <w:rsid w:val="2C84205C"/>
    <w:rsid w:val="2CC3645D"/>
    <w:rsid w:val="2CDD5E5E"/>
    <w:rsid w:val="2D0A0B6F"/>
    <w:rsid w:val="2D791F79"/>
    <w:rsid w:val="2D7F0511"/>
    <w:rsid w:val="2DC25D07"/>
    <w:rsid w:val="2E492682"/>
    <w:rsid w:val="2E643367"/>
    <w:rsid w:val="2EB25D9D"/>
    <w:rsid w:val="2EC947AD"/>
    <w:rsid w:val="2EFA0551"/>
    <w:rsid w:val="2EFE2A1C"/>
    <w:rsid w:val="301C0A7B"/>
    <w:rsid w:val="303C28DD"/>
    <w:rsid w:val="305D7761"/>
    <w:rsid w:val="31206DA7"/>
    <w:rsid w:val="31504434"/>
    <w:rsid w:val="3211682D"/>
    <w:rsid w:val="32740417"/>
    <w:rsid w:val="32DB6EB3"/>
    <w:rsid w:val="3400576F"/>
    <w:rsid w:val="34083CBD"/>
    <w:rsid w:val="348B76F3"/>
    <w:rsid w:val="34BE566A"/>
    <w:rsid w:val="351157F6"/>
    <w:rsid w:val="356335D0"/>
    <w:rsid w:val="359227A4"/>
    <w:rsid w:val="35C9282B"/>
    <w:rsid w:val="35CB6B73"/>
    <w:rsid w:val="36D20045"/>
    <w:rsid w:val="36FC139F"/>
    <w:rsid w:val="37935030"/>
    <w:rsid w:val="379B2428"/>
    <w:rsid w:val="37C8189D"/>
    <w:rsid w:val="38244CC7"/>
    <w:rsid w:val="389055BB"/>
    <w:rsid w:val="389C2431"/>
    <w:rsid w:val="38CA26A0"/>
    <w:rsid w:val="38E225BE"/>
    <w:rsid w:val="38EE6F9A"/>
    <w:rsid w:val="39A10750"/>
    <w:rsid w:val="3A107547"/>
    <w:rsid w:val="3A205B59"/>
    <w:rsid w:val="3A3D0EC2"/>
    <w:rsid w:val="3A55342F"/>
    <w:rsid w:val="3B2B5280"/>
    <w:rsid w:val="3B43748D"/>
    <w:rsid w:val="3B9911D9"/>
    <w:rsid w:val="3BD11887"/>
    <w:rsid w:val="3C204F43"/>
    <w:rsid w:val="3C563A43"/>
    <w:rsid w:val="3C8A5CC1"/>
    <w:rsid w:val="3CD660F7"/>
    <w:rsid w:val="3D0468D9"/>
    <w:rsid w:val="3D966D54"/>
    <w:rsid w:val="3DCD0B5F"/>
    <w:rsid w:val="3DFA5B0D"/>
    <w:rsid w:val="3E1E377B"/>
    <w:rsid w:val="3E257517"/>
    <w:rsid w:val="3E3F70D8"/>
    <w:rsid w:val="3F24663E"/>
    <w:rsid w:val="3F29378E"/>
    <w:rsid w:val="3F34445F"/>
    <w:rsid w:val="3F941AE6"/>
    <w:rsid w:val="3FAE095A"/>
    <w:rsid w:val="3FB04657"/>
    <w:rsid w:val="3FDD09DE"/>
    <w:rsid w:val="3FF868DF"/>
    <w:rsid w:val="400513F7"/>
    <w:rsid w:val="404D3939"/>
    <w:rsid w:val="406931D3"/>
    <w:rsid w:val="406C05EE"/>
    <w:rsid w:val="406E0BBB"/>
    <w:rsid w:val="40F65B38"/>
    <w:rsid w:val="413D5E70"/>
    <w:rsid w:val="41467776"/>
    <w:rsid w:val="416429CC"/>
    <w:rsid w:val="41671463"/>
    <w:rsid w:val="418C27C9"/>
    <w:rsid w:val="41916331"/>
    <w:rsid w:val="41CD0B9E"/>
    <w:rsid w:val="41F2005D"/>
    <w:rsid w:val="423C764E"/>
    <w:rsid w:val="426B4A7B"/>
    <w:rsid w:val="427E3268"/>
    <w:rsid w:val="42857CF5"/>
    <w:rsid w:val="434049BE"/>
    <w:rsid w:val="435060DB"/>
    <w:rsid w:val="435B7B1C"/>
    <w:rsid w:val="435E7D7C"/>
    <w:rsid w:val="43E15EC3"/>
    <w:rsid w:val="43F83EF0"/>
    <w:rsid w:val="442414F7"/>
    <w:rsid w:val="4427539B"/>
    <w:rsid w:val="44947A48"/>
    <w:rsid w:val="449A7B74"/>
    <w:rsid w:val="44CA0AAC"/>
    <w:rsid w:val="44ED182E"/>
    <w:rsid w:val="451C456B"/>
    <w:rsid w:val="45964A7B"/>
    <w:rsid w:val="45CD7F39"/>
    <w:rsid w:val="45D649C3"/>
    <w:rsid w:val="45ED0DC8"/>
    <w:rsid w:val="462C106C"/>
    <w:rsid w:val="466F27BA"/>
    <w:rsid w:val="467A65C3"/>
    <w:rsid w:val="469B635D"/>
    <w:rsid w:val="46DC6F13"/>
    <w:rsid w:val="46DF0829"/>
    <w:rsid w:val="46E70D64"/>
    <w:rsid w:val="46F20223"/>
    <w:rsid w:val="4776108C"/>
    <w:rsid w:val="47980D8B"/>
    <w:rsid w:val="47C55814"/>
    <w:rsid w:val="48026826"/>
    <w:rsid w:val="48336B34"/>
    <w:rsid w:val="48374085"/>
    <w:rsid w:val="48633325"/>
    <w:rsid w:val="48901B41"/>
    <w:rsid w:val="48EA5F39"/>
    <w:rsid w:val="492B6262"/>
    <w:rsid w:val="499E6F0E"/>
    <w:rsid w:val="49A76147"/>
    <w:rsid w:val="4A070B1A"/>
    <w:rsid w:val="4A904BDF"/>
    <w:rsid w:val="4B820DBA"/>
    <w:rsid w:val="4B91086A"/>
    <w:rsid w:val="4BB43C9A"/>
    <w:rsid w:val="4BDE3817"/>
    <w:rsid w:val="4BFD73F2"/>
    <w:rsid w:val="4C1B6C0E"/>
    <w:rsid w:val="4C830492"/>
    <w:rsid w:val="4C975779"/>
    <w:rsid w:val="4D00457C"/>
    <w:rsid w:val="4D206DA7"/>
    <w:rsid w:val="4D501009"/>
    <w:rsid w:val="4D631741"/>
    <w:rsid w:val="4D761058"/>
    <w:rsid w:val="4D801CC3"/>
    <w:rsid w:val="4D990B77"/>
    <w:rsid w:val="4E022025"/>
    <w:rsid w:val="4E79685B"/>
    <w:rsid w:val="4EB647A3"/>
    <w:rsid w:val="4EE339B2"/>
    <w:rsid w:val="4F756FF3"/>
    <w:rsid w:val="4F7742AD"/>
    <w:rsid w:val="4FA3161C"/>
    <w:rsid w:val="4FC3578B"/>
    <w:rsid w:val="4FFE0B87"/>
    <w:rsid w:val="501D78B3"/>
    <w:rsid w:val="508A6AF6"/>
    <w:rsid w:val="510800AA"/>
    <w:rsid w:val="51231F8D"/>
    <w:rsid w:val="51433BAF"/>
    <w:rsid w:val="514A5393"/>
    <w:rsid w:val="5168376C"/>
    <w:rsid w:val="51BE176D"/>
    <w:rsid w:val="51D44417"/>
    <w:rsid w:val="51E95F6C"/>
    <w:rsid w:val="522F4C5B"/>
    <w:rsid w:val="52400575"/>
    <w:rsid w:val="52EA79A7"/>
    <w:rsid w:val="52EF6DAF"/>
    <w:rsid w:val="53315CC0"/>
    <w:rsid w:val="53816CE6"/>
    <w:rsid w:val="53CF3356"/>
    <w:rsid w:val="53D07DBD"/>
    <w:rsid w:val="53E8249C"/>
    <w:rsid w:val="53EF1896"/>
    <w:rsid w:val="53FA1CA3"/>
    <w:rsid w:val="53FC48DA"/>
    <w:rsid w:val="54242A12"/>
    <w:rsid w:val="54383D0C"/>
    <w:rsid w:val="543854A2"/>
    <w:rsid w:val="544B4191"/>
    <w:rsid w:val="548733DA"/>
    <w:rsid w:val="55157498"/>
    <w:rsid w:val="552F11A1"/>
    <w:rsid w:val="55583B15"/>
    <w:rsid w:val="55644655"/>
    <w:rsid w:val="557B2E7B"/>
    <w:rsid w:val="562274D7"/>
    <w:rsid w:val="56595B3D"/>
    <w:rsid w:val="567F7602"/>
    <w:rsid w:val="568C2A25"/>
    <w:rsid w:val="56B81875"/>
    <w:rsid w:val="56C54FB7"/>
    <w:rsid w:val="56D53107"/>
    <w:rsid w:val="5711360E"/>
    <w:rsid w:val="572211BF"/>
    <w:rsid w:val="576E7A68"/>
    <w:rsid w:val="57E0201D"/>
    <w:rsid w:val="57FF2F88"/>
    <w:rsid w:val="580E0CFA"/>
    <w:rsid w:val="584A2CBF"/>
    <w:rsid w:val="58541D64"/>
    <w:rsid w:val="5878792C"/>
    <w:rsid w:val="589632DB"/>
    <w:rsid w:val="58BD1881"/>
    <w:rsid w:val="58CE6385"/>
    <w:rsid w:val="58F12E3D"/>
    <w:rsid w:val="59465A53"/>
    <w:rsid w:val="59787BA7"/>
    <w:rsid w:val="59F04186"/>
    <w:rsid w:val="59FD7108"/>
    <w:rsid w:val="5A32248F"/>
    <w:rsid w:val="5A3B04BB"/>
    <w:rsid w:val="5A603900"/>
    <w:rsid w:val="5A6460A3"/>
    <w:rsid w:val="5A90443A"/>
    <w:rsid w:val="5ABD696D"/>
    <w:rsid w:val="5B2556D5"/>
    <w:rsid w:val="5B3E78C2"/>
    <w:rsid w:val="5CB726D7"/>
    <w:rsid w:val="5CEC6741"/>
    <w:rsid w:val="5D0639C1"/>
    <w:rsid w:val="5D2A14CF"/>
    <w:rsid w:val="5D2F5988"/>
    <w:rsid w:val="5D854F45"/>
    <w:rsid w:val="5E052726"/>
    <w:rsid w:val="5E165C38"/>
    <w:rsid w:val="5E5F2C84"/>
    <w:rsid w:val="5E7966A8"/>
    <w:rsid w:val="5E7B7C94"/>
    <w:rsid w:val="5EA12D40"/>
    <w:rsid w:val="5ED01BF0"/>
    <w:rsid w:val="5F577B1A"/>
    <w:rsid w:val="5F8974D3"/>
    <w:rsid w:val="5FBE4D07"/>
    <w:rsid w:val="60156625"/>
    <w:rsid w:val="602D5EEE"/>
    <w:rsid w:val="60532449"/>
    <w:rsid w:val="60A92F44"/>
    <w:rsid w:val="61DD45AA"/>
    <w:rsid w:val="61DF7E12"/>
    <w:rsid w:val="61FC278D"/>
    <w:rsid w:val="620D1289"/>
    <w:rsid w:val="621B125F"/>
    <w:rsid w:val="628C4BF5"/>
    <w:rsid w:val="62B44E4F"/>
    <w:rsid w:val="62B71680"/>
    <w:rsid w:val="62CD15BE"/>
    <w:rsid w:val="62CF59F1"/>
    <w:rsid w:val="62CF7FDC"/>
    <w:rsid w:val="62DA3A62"/>
    <w:rsid w:val="62F03A61"/>
    <w:rsid w:val="633D786E"/>
    <w:rsid w:val="643A0AD4"/>
    <w:rsid w:val="64492B9C"/>
    <w:rsid w:val="64773FCA"/>
    <w:rsid w:val="65D61B01"/>
    <w:rsid w:val="65E71D3E"/>
    <w:rsid w:val="66197048"/>
    <w:rsid w:val="663A4FD4"/>
    <w:rsid w:val="67024768"/>
    <w:rsid w:val="671543D0"/>
    <w:rsid w:val="6798356A"/>
    <w:rsid w:val="67C804C9"/>
    <w:rsid w:val="68425B06"/>
    <w:rsid w:val="68A37DD5"/>
    <w:rsid w:val="68D410CE"/>
    <w:rsid w:val="68D74DCC"/>
    <w:rsid w:val="69902C5D"/>
    <w:rsid w:val="6994281F"/>
    <w:rsid w:val="6A14535A"/>
    <w:rsid w:val="6A17095D"/>
    <w:rsid w:val="6A344AC1"/>
    <w:rsid w:val="6A3C36AF"/>
    <w:rsid w:val="6A5A0E47"/>
    <w:rsid w:val="6A7801F6"/>
    <w:rsid w:val="6A815F12"/>
    <w:rsid w:val="6AD36E1B"/>
    <w:rsid w:val="6B6A799A"/>
    <w:rsid w:val="6B99125C"/>
    <w:rsid w:val="6C025801"/>
    <w:rsid w:val="6C120F39"/>
    <w:rsid w:val="6CC72D64"/>
    <w:rsid w:val="6CED0D76"/>
    <w:rsid w:val="6CED2D76"/>
    <w:rsid w:val="6D12355E"/>
    <w:rsid w:val="6D187F3F"/>
    <w:rsid w:val="6D1E0E77"/>
    <w:rsid w:val="6D4A2B75"/>
    <w:rsid w:val="6D5A1EC8"/>
    <w:rsid w:val="6D8368E9"/>
    <w:rsid w:val="6D8F79AC"/>
    <w:rsid w:val="6DA90E51"/>
    <w:rsid w:val="6DBD3F06"/>
    <w:rsid w:val="6DE43599"/>
    <w:rsid w:val="6DF1222A"/>
    <w:rsid w:val="6E15012D"/>
    <w:rsid w:val="6E317CBB"/>
    <w:rsid w:val="6E6E0341"/>
    <w:rsid w:val="6E8E1DEB"/>
    <w:rsid w:val="6E9B021B"/>
    <w:rsid w:val="6EA34B52"/>
    <w:rsid w:val="6ED456E6"/>
    <w:rsid w:val="6ED67809"/>
    <w:rsid w:val="6F36384C"/>
    <w:rsid w:val="6F8A32B0"/>
    <w:rsid w:val="6F8E70D9"/>
    <w:rsid w:val="6F912BB9"/>
    <w:rsid w:val="6FCE65FE"/>
    <w:rsid w:val="6FDD0E86"/>
    <w:rsid w:val="705C3CE1"/>
    <w:rsid w:val="705C64F8"/>
    <w:rsid w:val="706A45B5"/>
    <w:rsid w:val="708962EF"/>
    <w:rsid w:val="70B851BA"/>
    <w:rsid w:val="70E03847"/>
    <w:rsid w:val="712B5073"/>
    <w:rsid w:val="713A1FAE"/>
    <w:rsid w:val="717374CB"/>
    <w:rsid w:val="717803AA"/>
    <w:rsid w:val="718869C3"/>
    <w:rsid w:val="71DA1FEF"/>
    <w:rsid w:val="71FE532A"/>
    <w:rsid w:val="72006CD3"/>
    <w:rsid w:val="722C341A"/>
    <w:rsid w:val="72D7167D"/>
    <w:rsid w:val="72E46749"/>
    <w:rsid w:val="731E6F12"/>
    <w:rsid w:val="732E5AC6"/>
    <w:rsid w:val="740A0E93"/>
    <w:rsid w:val="741E5A60"/>
    <w:rsid w:val="742E14FB"/>
    <w:rsid w:val="74561FB2"/>
    <w:rsid w:val="74F27C2C"/>
    <w:rsid w:val="751A53CE"/>
    <w:rsid w:val="75747B96"/>
    <w:rsid w:val="75D511B0"/>
    <w:rsid w:val="75E872BD"/>
    <w:rsid w:val="75F1439A"/>
    <w:rsid w:val="76174830"/>
    <w:rsid w:val="763F3EAA"/>
    <w:rsid w:val="764F1D30"/>
    <w:rsid w:val="765976E7"/>
    <w:rsid w:val="76DE5573"/>
    <w:rsid w:val="76E05BB6"/>
    <w:rsid w:val="7708462E"/>
    <w:rsid w:val="777D607A"/>
    <w:rsid w:val="77852993"/>
    <w:rsid w:val="7856057E"/>
    <w:rsid w:val="78671FAD"/>
    <w:rsid w:val="78AD74F2"/>
    <w:rsid w:val="79EF1744"/>
    <w:rsid w:val="7A0267D7"/>
    <w:rsid w:val="7A177400"/>
    <w:rsid w:val="7A234EDA"/>
    <w:rsid w:val="7AAD79E7"/>
    <w:rsid w:val="7B024275"/>
    <w:rsid w:val="7B1E1D39"/>
    <w:rsid w:val="7B5D5B7F"/>
    <w:rsid w:val="7BDC7C6A"/>
    <w:rsid w:val="7C195DF4"/>
    <w:rsid w:val="7C2655A8"/>
    <w:rsid w:val="7C460A16"/>
    <w:rsid w:val="7C667EE7"/>
    <w:rsid w:val="7C683570"/>
    <w:rsid w:val="7CDB325E"/>
    <w:rsid w:val="7CE839CB"/>
    <w:rsid w:val="7D180BA0"/>
    <w:rsid w:val="7DB826EF"/>
    <w:rsid w:val="7DD155DD"/>
    <w:rsid w:val="7E0F0412"/>
    <w:rsid w:val="7E2F310B"/>
    <w:rsid w:val="7E31504D"/>
    <w:rsid w:val="7E9374DB"/>
    <w:rsid w:val="7F400961"/>
    <w:rsid w:val="7F4C0549"/>
    <w:rsid w:val="7F921D14"/>
    <w:rsid w:val="7FA72A29"/>
    <w:rsid w:val="7FE25C11"/>
    <w:rsid w:val="7FE55BF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0" w:name="index 2"/>
    <w:lsdException w:uiPriority="0" w:name="index 3"/>
    <w:lsdException w:qFormat="1"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iPriority="0" w:semiHidden="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qFormat="1"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qFormat="1" w:uiPriority="0" w:name="HTML Typewriter"/>
    <w:lsdException w:qFormat="1"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link w:val="99"/>
    <w:qFormat/>
    <w:uiPriority w:val="0"/>
    <w:pPr>
      <w:keepNext/>
      <w:keepLines/>
      <w:overflowPunct w:val="0"/>
      <w:adjustRightInd w:val="0"/>
      <w:snapToGrid w:val="0"/>
      <w:spacing w:before="100" w:after="120"/>
      <w:jc w:val="center"/>
      <w:outlineLvl w:val="0"/>
    </w:pPr>
    <w:rPr>
      <w:rFonts w:ascii="宋体" w:hAnsi="宋体"/>
      <w:b/>
      <w:kern w:val="0"/>
      <w:sz w:val="36"/>
      <w:szCs w:val="44"/>
    </w:rPr>
  </w:style>
  <w:style w:type="paragraph" w:styleId="6">
    <w:name w:val="heading 2"/>
    <w:basedOn w:val="1"/>
    <w:next w:val="1"/>
    <w:link w:val="104"/>
    <w:qFormat/>
    <w:uiPriority w:val="0"/>
    <w:pPr>
      <w:spacing w:line="600" w:lineRule="exact"/>
      <w:contextualSpacing/>
      <w:jc w:val="center"/>
      <w:outlineLvl w:val="1"/>
    </w:pPr>
    <w:rPr>
      <w:rFonts w:ascii="宋体" w:hAnsi="宋体"/>
      <w:b/>
      <w:bCs/>
      <w:sz w:val="28"/>
      <w:szCs w:val="28"/>
    </w:rPr>
  </w:style>
  <w:style w:type="paragraph" w:styleId="7">
    <w:name w:val="heading 3"/>
    <w:basedOn w:val="1"/>
    <w:next w:val="1"/>
    <w:link w:val="90"/>
    <w:qFormat/>
    <w:uiPriority w:val="0"/>
    <w:pPr>
      <w:keepNext/>
      <w:keepLines/>
      <w:spacing w:after="120" w:line="500" w:lineRule="exact"/>
      <w:jc w:val="left"/>
      <w:outlineLvl w:val="2"/>
    </w:pPr>
    <w:rPr>
      <w:rFonts w:ascii="宋体" w:hAnsi="宋体"/>
      <w:b/>
      <w:bCs/>
      <w:sz w:val="24"/>
      <w:szCs w:val="24"/>
    </w:rPr>
  </w:style>
  <w:style w:type="paragraph" w:styleId="8">
    <w:name w:val="heading 4"/>
    <w:basedOn w:val="1"/>
    <w:next w:val="1"/>
    <w:link w:val="103"/>
    <w:qFormat/>
    <w:uiPriority w:val="0"/>
    <w:pPr>
      <w:spacing w:before="240"/>
      <w:ind w:firstLine="425" w:firstLineChars="177"/>
      <w:jc w:val="left"/>
      <w:outlineLvl w:val="3"/>
    </w:pPr>
    <w:rPr>
      <w:rFonts w:ascii="宋体" w:hAnsi="宋体"/>
      <w:sz w:val="24"/>
      <w:szCs w:val="28"/>
    </w:rPr>
  </w:style>
  <w:style w:type="paragraph" w:styleId="9">
    <w:name w:val="heading 5"/>
    <w:basedOn w:val="1"/>
    <w:next w:val="1"/>
    <w:link w:val="111"/>
    <w:qFormat/>
    <w:uiPriority w:val="0"/>
    <w:pPr>
      <w:keepNext/>
      <w:keepLines/>
      <w:widowControl/>
      <w:tabs>
        <w:tab w:val="left" w:pos="1008"/>
      </w:tabs>
      <w:spacing w:before="280" w:line="372" w:lineRule="auto"/>
      <w:ind w:left="1008" w:hanging="1008"/>
      <w:jc w:val="center"/>
      <w:outlineLvl w:val="4"/>
    </w:pPr>
    <w:rPr>
      <w:b/>
      <w:bCs/>
      <w:kern w:val="0"/>
      <w:sz w:val="28"/>
      <w:szCs w:val="28"/>
    </w:rPr>
  </w:style>
  <w:style w:type="paragraph" w:styleId="10">
    <w:name w:val="heading 6"/>
    <w:basedOn w:val="1"/>
    <w:next w:val="1"/>
    <w:link w:val="152"/>
    <w:qFormat/>
    <w:uiPriority w:val="0"/>
    <w:pPr>
      <w:keepNext/>
      <w:keepLines/>
      <w:widowControl/>
      <w:tabs>
        <w:tab w:val="left" w:pos="1440"/>
      </w:tabs>
      <w:spacing w:before="240" w:after="64" w:line="320" w:lineRule="auto"/>
      <w:ind w:left="1152" w:hanging="1152"/>
      <w:jc w:val="center"/>
      <w:outlineLvl w:val="5"/>
    </w:pPr>
    <w:rPr>
      <w:rFonts w:ascii="Arial" w:hAnsi="Arial" w:eastAsia="黑体"/>
      <w:b/>
      <w:bCs/>
      <w:kern w:val="0"/>
      <w:sz w:val="24"/>
      <w:szCs w:val="24"/>
    </w:rPr>
  </w:style>
  <w:style w:type="paragraph" w:styleId="11">
    <w:name w:val="heading 7"/>
    <w:basedOn w:val="1"/>
    <w:next w:val="1"/>
    <w:link w:val="71"/>
    <w:qFormat/>
    <w:uiPriority w:val="0"/>
    <w:pPr>
      <w:keepNext/>
      <w:keepLines/>
      <w:widowControl/>
      <w:tabs>
        <w:tab w:val="left" w:pos="2520"/>
      </w:tabs>
      <w:spacing w:before="240" w:after="64" w:line="320" w:lineRule="auto"/>
      <w:ind w:left="1296" w:hanging="1296"/>
      <w:jc w:val="left"/>
      <w:outlineLvl w:val="6"/>
    </w:pPr>
    <w:rPr>
      <w:rFonts w:ascii="宋体" w:hAnsi="宋体"/>
      <w:b/>
      <w:bCs/>
      <w:kern w:val="0"/>
      <w:sz w:val="24"/>
      <w:szCs w:val="24"/>
    </w:rPr>
  </w:style>
  <w:style w:type="paragraph" w:styleId="12">
    <w:name w:val="heading 8"/>
    <w:basedOn w:val="1"/>
    <w:next w:val="1"/>
    <w:link w:val="12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szCs w:val="24"/>
    </w:rPr>
  </w:style>
  <w:style w:type="paragraph" w:styleId="13">
    <w:name w:val="heading 9"/>
    <w:basedOn w:val="1"/>
    <w:next w:val="1"/>
    <w:link w:val="86"/>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next w:val="4"/>
    <w:link w:val="143"/>
    <w:qFormat/>
    <w:uiPriority w:val="0"/>
    <w:pPr>
      <w:spacing w:after="120"/>
      <w:ind w:left="420" w:leftChars="200"/>
    </w:pPr>
    <w:rPr>
      <w:rFonts w:ascii="宋体" w:hAnsi="宋体"/>
      <w:szCs w:val="24"/>
    </w:rPr>
  </w:style>
  <w:style w:type="paragraph" w:styleId="4">
    <w:name w:val="envelope return"/>
    <w:basedOn w:val="1"/>
    <w:qFormat/>
    <w:uiPriority w:val="0"/>
    <w:pPr>
      <w:snapToGrid w:val="0"/>
    </w:pPr>
    <w:rPr>
      <w:rFonts w:ascii="Arial" w:hAnsi="Arial"/>
    </w:rPr>
  </w:style>
  <w:style w:type="paragraph" w:styleId="14">
    <w:name w:val="toc 7"/>
    <w:basedOn w:val="1"/>
    <w:next w:val="1"/>
    <w:unhideWhenUsed/>
    <w:qFormat/>
    <w:uiPriority w:val="39"/>
    <w:pPr>
      <w:ind w:left="2520" w:leftChars="1200"/>
    </w:pPr>
    <w:rPr>
      <w:rFonts w:ascii="Calibri" w:hAnsi="Calibri"/>
    </w:rPr>
  </w:style>
  <w:style w:type="paragraph" w:styleId="15">
    <w:name w:val="Normal Indent"/>
    <w:basedOn w:val="1"/>
    <w:qFormat/>
    <w:uiPriority w:val="0"/>
    <w:pPr>
      <w:ind w:firstLine="420" w:firstLineChars="200"/>
    </w:pPr>
  </w:style>
  <w:style w:type="paragraph" w:styleId="16">
    <w:name w:val="caption"/>
    <w:basedOn w:val="1"/>
    <w:next w:val="1"/>
    <w:qFormat/>
    <w:uiPriority w:val="0"/>
    <w:rPr>
      <w:rFonts w:ascii="Cambria" w:hAnsi="Cambria" w:eastAsia="黑体"/>
      <w:sz w:val="20"/>
      <w:szCs w:val="20"/>
    </w:rPr>
  </w:style>
  <w:style w:type="paragraph" w:styleId="17">
    <w:name w:val="List Bullet"/>
    <w:basedOn w:val="1"/>
    <w:unhideWhenUsed/>
    <w:qFormat/>
    <w:uiPriority w:val="0"/>
    <w:pPr>
      <w:numPr>
        <w:ilvl w:val="0"/>
        <w:numId w:val="1"/>
      </w:numPr>
    </w:pPr>
  </w:style>
  <w:style w:type="paragraph" w:styleId="18">
    <w:name w:val="Document Map"/>
    <w:basedOn w:val="1"/>
    <w:link w:val="147"/>
    <w:semiHidden/>
    <w:qFormat/>
    <w:uiPriority w:val="0"/>
    <w:pPr>
      <w:shd w:val="clear" w:color="auto" w:fill="000080"/>
    </w:pPr>
    <w:rPr>
      <w:rFonts w:ascii="宋体" w:hAnsi="宋体"/>
      <w:szCs w:val="24"/>
    </w:rPr>
  </w:style>
  <w:style w:type="paragraph" w:styleId="19">
    <w:name w:val="annotation text"/>
    <w:basedOn w:val="1"/>
    <w:link w:val="63"/>
    <w:semiHidden/>
    <w:qFormat/>
    <w:uiPriority w:val="0"/>
    <w:pPr>
      <w:jc w:val="left"/>
    </w:pPr>
    <w:rPr>
      <w:szCs w:val="24"/>
    </w:rPr>
  </w:style>
  <w:style w:type="paragraph" w:styleId="20">
    <w:name w:val="Body Text 3"/>
    <w:basedOn w:val="1"/>
    <w:link w:val="110"/>
    <w:qFormat/>
    <w:uiPriority w:val="0"/>
    <w:rPr>
      <w:rFonts w:ascii="宋体"/>
      <w:sz w:val="24"/>
      <w:szCs w:val="20"/>
    </w:rPr>
  </w:style>
  <w:style w:type="paragraph" w:styleId="21">
    <w:name w:val="Body Text"/>
    <w:basedOn w:val="1"/>
    <w:link w:val="157"/>
    <w:qFormat/>
    <w:uiPriority w:val="0"/>
    <w:pPr>
      <w:spacing w:after="120"/>
    </w:pPr>
    <w:rPr>
      <w:rFonts w:ascii="宋体" w:hAnsi="宋体"/>
      <w:szCs w:val="24"/>
    </w:rPr>
  </w:style>
  <w:style w:type="paragraph" w:styleId="22">
    <w:name w:val="index 4"/>
    <w:basedOn w:val="1"/>
    <w:next w:val="1"/>
    <w:unhideWhenUsed/>
    <w:qFormat/>
    <w:uiPriority w:val="0"/>
    <w:pPr>
      <w:ind w:left="600" w:leftChars="600"/>
    </w:pPr>
  </w:style>
  <w:style w:type="paragraph" w:styleId="23">
    <w:name w:val="toc 5"/>
    <w:basedOn w:val="1"/>
    <w:next w:val="1"/>
    <w:unhideWhenUsed/>
    <w:qFormat/>
    <w:uiPriority w:val="39"/>
    <w:pPr>
      <w:ind w:left="1680" w:leftChars="800"/>
    </w:pPr>
    <w:rPr>
      <w:rFonts w:ascii="Calibri" w:hAnsi="Calibri"/>
    </w:rPr>
  </w:style>
  <w:style w:type="paragraph" w:styleId="24">
    <w:name w:val="toc 3"/>
    <w:basedOn w:val="1"/>
    <w:next w:val="1"/>
    <w:qFormat/>
    <w:uiPriority w:val="39"/>
    <w:pPr>
      <w:ind w:left="840" w:leftChars="400"/>
    </w:pPr>
  </w:style>
  <w:style w:type="paragraph" w:styleId="25">
    <w:name w:val="Plain Text"/>
    <w:basedOn w:val="1"/>
    <w:link w:val="151"/>
    <w:qFormat/>
    <w:uiPriority w:val="0"/>
    <w:pPr>
      <w:spacing w:line="305" w:lineRule="auto"/>
      <w:ind w:firstLine="420"/>
    </w:pPr>
    <w:rPr>
      <w:rFonts w:ascii="宋体" w:hAnsi="Courier New" w:cs="Courier New"/>
      <w:szCs w:val="21"/>
    </w:rPr>
  </w:style>
  <w:style w:type="paragraph" w:styleId="26">
    <w:name w:val="toc 8"/>
    <w:basedOn w:val="1"/>
    <w:next w:val="1"/>
    <w:unhideWhenUsed/>
    <w:qFormat/>
    <w:uiPriority w:val="39"/>
    <w:pPr>
      <w:ind w:left="2940" w:leftChars="1400"/>
    </w:pPr>
    <w:rPr>
      <w:rFonts w:ascii="Calibri" w:hAnsi="Calibri"/>
    </w:rPr>
  </w:style>
  <w:style w:type="paragraph" w:styleId="27">
    <w:name w:val="Date"/>
    <w:basedOn w:val="1"/>
    <w:next w:val="1"/>
    <w:link w:val="136"/>
    <w:qFormat/>
    <w:uiPriority w:val="0"/>
    <w:pPr>
      <w:ind w:left="100" w:leftChars="2500"/>
    </w:pPr>
    <w:rPr>
      <w:rFonts w:ascii="宋体" w:hAnsi="宋体"/>
      <w:szCs w:val="24"/>
    </w:rPr>
  </w:style>
  <w:style w:type="paragraph" w:styleId="28">
    <w:name w:val="Body Text Indent 2"/>
    <w:basedOn w:val="1"/>
    <w:link w:val="135"/>
    <w:qFormat/>
    <w:uiPriority w:val="0"/>
    <w:pPr>
      <w:spacing w:line="305" w:lineRule="auto"/>
      <w:ind w:left="420" w:hanging="420" w:hangingChars="200"/>
    </w:pPr>
    <w:rPr>
      <w:rFonts w:ascii="宋体" w:hAnsi="宋体"/>
      <w:kern w:val="0"/>
      <w:szCs w:val="20"/>
    </w:rPr>
  </w:style>
  <w:style w:type="paragraph" w:styleId="29">
    <w:name w:val="Balloon Text"/>
    <w:basedOn w:val="1"/>
    <w:link w:val="88"/>
    <w:semiHidden/>
    <w:qFormat/>
    <w:uiPriority w:val="0"/>
    <w:rPr>
      <w:rFonts w:ascii="宋体" w:hAnsi="宋体"/>
      <w:sz w:val="18"/>
      <w:szCs w:val="18"/>
    </w:rPr>
  </w:style>
  <w:style w:type="paragraph" w:styleId="30">
    <w:name w:val="footer"/>
    <w:basedOn w:val="1"/>
    <w:link w:val="134"/>
    <w:qFormat/>
    <w:uiPriority w:val="99"/>
    <w:pPr>
      <w:tabs>
        <w:tab w:val="center" w:pos="4153"/>
        <w:tab w:val="right" w:pos="8306"/>
      </w:tabs>
      <w:snapToGrid w:val="0"/>
      <w:jc w:val="left"/>
    </w:pPr>
    <w:rPr>
      <w:sz w:val="18"/>
      <w:szCs w:val="18"/>
    </w:rPr>
  </w:style>
  <w:style w:type="paragraph" w:styleId="31">
    <w:name w:val="header"/>
    <w:basedOn w:val="1"/>
    <w:link w:val="145"/>
    <w:qFormat/>
    <w:uiPriority w:val="99"/>
    <w:pPr>
      <w:pBdr>
        <w:bottom w:val="single" w:color="auto" w:sz="6" w:space="1"/>
      </w:pBdr>
      <w:tabs>
        <w:tab w:val="center" w:pos="4153"/>
        <w:tab w:val="right" w:pos="8306"/>
      </w:tabs>
      <w:snapToGrid w:val="0"/>
      <w:jc w:val="center"/>
    </w:pPr>
    <w:rPr>
      <w:rFonts w:ascii="宋体" w:hAnsi="宋体"/>
      <w:sz w:val="18"/>
      <w:szCs w:val="18"/>
    </w:rPr>
  </w:style>
  <w:style w:type="paragraph" w:styleId="32">
    <w:name w:val="toc 1"/>
    <w:basedOn w:val="1"/>
    <w:next w:val="1"/>
    <w:qFormat/>
    <w:uiPriority w:val="39"/>
    <w:pPr>
      <w:tabs>
        <w:tab w:val="right" w:leader="dot" w:pos="8296"/>
      </w:tabs>
      <w:ind w:left="2" w:leftChars="1"/>
    </w:pPr>
    <w:rPr>
      <w:b/>
      <w:sz w:val="24"/>
      <w:szCs w:val="20"/>
    </w:rPr>
  </w:style>
  <w:style w:type="paragraph" w:styleId="33">
    <w:name w:val="toc 4"/>
    <w:basedOn w:val="1"/>
    <w:next w:val="1"/>
    <w:unhideWhenUsed/>
    <w:qFormat/>
    <w:uiPriority w:val="39"/>
    <w:pPr>
      <w:ind w:left="1260" w:leftChars="600"/>
    </w:pPr>
    <w:rPr>
      <w:rFonts w:ascii="Calibri" w:hAnsi="Calibri"/>
    </w:rPr>
  </w:style>
  <w:style w:type="paragraph" w:styleId="34">
    <w:name w:val="Subtitle"/>
    <w:basedOn w:val="1"/>
    <w:next w:val="1"/>
    <w:link w:val="102"/>
    <w:qFormat/>
    <w:uiPriority w:val="0"/>
    <w:pPr>
      <w:spacing w:before="240" w:after="60" w:line="312" w:lineRule="auto"/>
      <w:jc w:val="center"/>
      <w:outlineLvl w:val="1"/>
    </w:pPr>
    <w:rPr>
      <w:rFonts w:ascii="Cambria" w:hAnsi="Cambria" w:eastAsia="华文楷体"/>
      <w:b/>
      <w:bCs/>
      <w:kern w:val="28"/>
      <w:sz w:val="32"/>
      <w:szCs w:val="32"/>
    </w:rPr>
  </w:style>
  <w:style w:type="paragraph" w:styleId="35">
    <w:name w:val="toc 6"/>
    <w:basedOn w:val="1"/>
    <w:next w:val="1"/>
    <w:unhideWhenUsed/>
    <w:qFormat/>
    <w:uiPriority w:val="39"/>
    <w:pPr>
      <w:ind w:left="2100" w:leftChars="1000"/>
    </w:pPr>
    <w:rPr>
      <w:rFonts w:ascii="Calibri" w:hAnsi="Calibri"/>
    </w:rPr>
  </w:style>
  <w:style w:type="paragraph" w:styleId="36">
    <w:name w:val="Body Text Indent 3"/>
    <w:basedOn w:val="1"/>
    <w:link w:val="148"/>
    <w:qFormat/>
    <w:uiPriority w:val="0"/>
    <w:pPr>
      <w:spacing w:after="120"/>
      <w:ind w:left="420" w:leftChars="200"/>
    </w:pPr>
    <w:rPr>
      <w:sz w:val="16"/>
      <w:szCs w:val="16"/>
    </w:rPr>
  </w:style>
  <w:style w:type="paragraph" w:styleId="37">
    <w:name w:val="toc 2"/>
    <w:basedOn w:val="1"/>
    <w:next w:val="1"/>
    <w:qFormat/>
    <w:uiPriority w:val="39"/>
    <w:pPr>
      <w:tabs>
        <w:tab w:val="right" w:leader="dot" w:pos="8296"/>
      </w:tabs>
      <w:ind w:left="200" w:leftChars="200"/>
    </w:pPr>
    <w:rPr>
      <w:sz w:val="24"/>
    </w:rPr>
  </w:style>
  <w:style w:type="paragraph" w:styleId="38">
    <w:name w:val="toc 9"/>
    <w:basedOn w:val="1"/>
    <w:next w:val="1"/>
    <w:unhideWhenUsed/>
    <w:qFormat/>
    <w:uiPriority w:val="39"/>
    <w:pPr>
      <w:ind w:left="3360" w:leftChars="1600"/>
    </w:pPr>
    <w:rPr>
      <w:rFonts w:ascii="Calibri" w:hAnsi="Calibri"/>
    </w:rPr>
  </w:style>
  <w:style w:type="paragraph" w:styleId="39">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40">
    <w:name w:val="index 1"/>
    <w:basedOn w:val="1"/>
    <w:next w:val="1"/>
    <w:semiHidden/>
    <w:qFormat/>
    <w:uiPriority w:val="0"/>
    <w:pPr>
      <w:spacing w:line="220" w:lineRule="exact"/>
      <w:jc w:val="center"/>
    </w:pPr>
    <w:rPr>
      <w:rFonts w:ascii="仿宋_GB2312" w:eastAsia="仿宋_GB2312"/>
      <w:szCs w:val="21"/>
    </w:rPr>
  </w:style>
  <w:style w:type="paragraph" w:styleId="41">
    <w:name w:val="Title"/>
    <w:basedOn w:val="1"/>
    <w:link w:val="155"/>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42">
    <w:name w:val="annotation subject"/>
    <w:basedOn w:val="19"/>
    <w:next w:val="19"/>
    <w:link w:val="81"/>
    <w:semiHidden/>
    <w:qFormat/>
    <w:uiPriority w:val="0"/>
    <w:rPr>
      <w:rFonts w:ascii="宋体" w:hAnsi="宋体"/>
      <w:b/>
      <w:bCs/>
    </w:rPr>
  </w:style>
  <w:style w:type="paragraph" w:styleId="43">
    <w:name w:val="Body Text First Indent"/>
    <w:basedOn w:val="21"/>
    <w:qFormat/>
    <w:uiPriority w:val="0"/>
    <w:pPr>
      <w:ind w:firstLine="420" w:firstLineChars="100"/>
    </w:p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7">
    <w:name w:val="Strong"/>
    <w:qFormat/>
    <w:uiPriority w:val="0"/>
    <w:rPr>
      <w:b/>
      <w:bCs/>
    </w:rPr>
  </w:style>
  <w:style w:type="character" w:styleId="48">
    <w:name w:val="page number"/>
    <w:basedOn w:val="46"/>
    <w:qFormat/>
    <w:uiPriority w:val="0"/>
  </w:style>
  <w:style w:type="character" w:styleId="49">
    <w:name w:val="FollowedHyperlink"/>
    <w:basedOn w:val="46"/>
    <w:semiHidden/>
    <w:unhideWhenUsed/>
    <w:qFormat/>
    <w:uiPriority w:val="99"/>
    <w:rPr>
      <w:color w:val="800080"/>
      <w:u w:val="none"/>
    </w:rPr>
  </w:style>
  <w:style w:type="character" w:styleId="50">
    <w:name w:val="HTML Definition"/>
    <w:basedOn w:val="46"/>
    <w:semiHidden/>
    <w:unhideWhenUsed/>
    <w:qFormat/>
    <w:uiPriority w:val="0"/>
  </w:style>
  <w:style w:type="character" w:styleId="51">
    <w:name w:val="HTML Typewriter"/>
    <w:basedOn w:val="46"/>
    <w:semiHidden/>
    <w:unhideWhenUsed/>
    <w:qFormat/>
    <w:uiPriority w:val="0"/>
    <w:rPr>
      <w:rFonts w:hint="default" w:ascii="monospace" w:hAnsi="monospace" w:eastAsia="monospace" w:cs="monospace"/>
      <w:sz w:val="20"/>
    </w:rPr>
  </w:style>
  <w:style w:type="character" w:styleId="52">
    <w:name w:val="HTML Acronym"/>
    <w:basedOn w:val="46"/>
    <w:semiHidden/>
    <w:unhideWhenUsed/>
    <w:qFormat/>
    <w:uiPriority w:val="0"/>
  </w:style>
  <w:style w:type="character" w:styleId="53">
    <w:name w:val="HTML Variable"/>
    <w:basedOn w:val="46"/>
    <w:semiHidden/>
    <w:unhideWhenUsed/>
    <w:qFormat/>
    <w:uiPriority w:val="0"/>
  </w:style>
  <w:style w:type="character" w:styleId="54">
    <w:name w:val="Hyperlink"/>
    <w:basedOn w:val="46"/>
    <w:qFormat/>
    <w:uiPriority w:val="99"/>
    <w:rPr>
      <w:color w:val="333333"/>
      <w:u w:val="none"/>
    </w:rPr>
  </w:style>
  <w:style w:type="character" w:styleId="55">
    <w:name w:val="HTML Code"/>
    <w:basedOn w:val="46"/>
    <w:semiHidden/>
    <w:unhideWhenUsed/>
    <w:qFormat/>
    <w:uiPriority w:val="0"/>
    <w:rPr>
      <w:rFonts w:hint="default" w:ascii="monospace" w:hAnsi="monospace" w:eastAsia="monospace" w:cs="monospace"/>
      <w:sz w:val="20"/>
    </w:rPr>
  </w:style>
  <w:style w:type="character" w:styleId="56">
    <w:name w:val="annotation reference"/>
    <w:semiHidden/>
    <w:qFormat/>
    <w:uiPriority w:val="0"/>
    <w:rPr>
      <w:sz w:val="21"/>
      <w:szCs w:val="21"/>
    </w:rPr>
  </w:style>
  <w:style w:type="character" w:styleId="57">
    <w:name w:val="HTML Cite"/>
    <w:basedOn w:val="46"/>
    <w:semiHidden/>
    <w:unhideWhenUsed/>
    <w:qFormat/>
    <w:uiPriority w:val="0"/>
  </w:style>
  <w:style w:type="character" w:styleId="58">
    <w:name w:val="HTML Keyboard"/>
    <w:basedOn w:val="46"/>
    <w:semiHidden/>
    <w:unhideWhenUsed/>
    <w:qFormat/>
    <w:uiPriority w:val="0"/>
    <w:rPr>
      <w:rFonts w:hint="default" w:ascii="monospace" w:hAnsi="monospace" w:eastAsia="monospace" w:cs="monospace"/>
      <w:sz w:val="20"/>
    </w:rPr>
  </w:style>
  <w:style w:type="character" w:styleId="59">
    <w:name w:val="HTML Sample"/>
    <w:basedOn w:val="46"/>
    <w:semiHidden/>
    <w:unhideWhenUsed/>
    <w:qFormat/>
    <w:uiPriority w:val="0"/>
    <w:rPr>
      <w:rFonts w:ascii="monospace" w:hAnsi="monospace" w:eastAsia="monospace" w:cs="monospace"/>
    </w:rPr>
  </w:style>
  <w:style w:type="character" w:customStyle="1" w:styleId="60">
    <w:name w:val="访问过的超链接1"/>
    <w:qFormat/>
    <w:uiPriority w:val="99"/>
    <w:rPr>
      <w:color w:val="333333"/>
      <w:u w:val="none"/>
    </w:rPr>
  </w:style>
  <w:style w:type="character" w:customStyle="1" w:styleId="61">
    <w:name w:val="引用 Char1"/>
    <w:qFormat/>
    <w:uiPriority w:val="29"/>
    <w:rPr>
      <w:i/>
      <w:iCs/>
      <w:color w:val="000000"/>
      <w:kern w:val="2"/>
      <w:sz w:val="21"/>
      <w:szCs w:val="22"/>
    </w:rPr>
  </w:style>
  <w:style w:type="character" w:customStyle="1" w:styleId="62">
    <w:name w:val="明显引用 Char1"/>
    <w:qFormat/>
    <w:uiPriority w:val="30"/>
    <w:rPr>
      <w:b/>
      <w:bCs/>
      <w:i/>
      <w:iCs/>
      <w:color w:val="4F81BD"/>
      <w:kern w:val="2"/>
      <w:sz w:val="21"/>
      <w:szCs w:val="22"/>
    </w:rPr>
  </w:style>
  <w:style w:type="character" w:customStyle="1" w:styleId="63">
    <w:name w:val="批注文字 Char"/>
    <w:link w:val="19"/>
    <w:qFormat/>
    <w:uiPriority w:val="0"/>
    <w:rPr>
      <w:rFonts w:eastAsia="宋体"/>
      <w:kern w:val="2"/>
      <w:sz w:val="21"/>
      <w:szCs w:val="24"/>
      <w:lang w:val="en-US" w:eastAsia="zh-CN" w:bidi="ar-SA"/>
    </w:rPr>
  </w:style>
  <w:style w:type="character" w:customStyle="1" w:styleId="64">
    <w:name w:val="Char Char4"/>
    <w:semiHidden/>
    <w:qFormat/>
    <w:uiPriority w:val="0"/>
    <w:rPr>
      <w:kern w:val="2"/>
      <w:sz w:val="21"/>
      <w:szCs w:val="24"/>
    </w:rPr>
  </w:style>
  <w:style w:type="character" w:customStyle="1" w:styleId="65">
    <w:name w:val="批注框文本 Char_0"/>
    <w:link w:val="66"/>
    <w:semiHidden/>
    <w:qFormat/>
    <w:uiPriority w:val="0"/>
    <w:rPr>
      <w:rFonts w:ascii="宋体" w:hAnsi="宋体"/>
      <w:kern w:val="2"/>
      <w:sz w:val="18"/>
      <w:szCs w:val="18"/>
      <w:lang w:val="en-US" w:eastAsia="zh-CN"/>
    </w:rPr>
  </w:style>
  <w:style w:type="paragraph" w:customStyle="1" w:styleId="66">
    <w:name w:val="批注框文本_0"/>
    <w:basedOn w:val="67"/>
    <w:link w:val="65"/>
    <w:semiHidden/>
    <w:qFormat/>
    <w:uiPriority w:val="0"/>
    <w:pPr>
      <w:widowControl/>
      <w:jc w:val="left"/>
    </w:pPr>
    <w:rPr>
      <w:rFonts w:ascii="宋体" w:hAnsi="宋体"/>
      <w:sz w:val="18"/>
      <w:szCs w:val="18"/>
    </w:rPr>
  </w:style>
  <w:style w:type="paragraph" w:customStyle="1" w:styleId="67">
    <w:name w:val="正文_0_4"/>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68">
    <w:name w:val="标题 2 Char_3"/>
    <w:link w:val="69"/>
    <w:qFormat/>
    <w:uiPriority w:val="0"/>
    <w:rPr>
      <w:rFonts w:ascii="Calibri" w:hAnsi="Calibri"/>
      <w:b/>
      <w:bCs/>
      <w:kern w:val="2"/>
      <w:sz w:val="28"/>
      <w:szCs w:val="28"/>
      <w:lang w:val="en-US" w:eastAsia="zh-CN"/>
    </w:rPr>
  </w:style>
  <w:style w:type="paragraph" w:customStyle="1" w:styleId="69">
    <w:name w:val="标题 2_3"/>
    <w:basedOn w:val="67"/>
    <w:next w:val="67"/>
    <w:link w:val="68"/>
    <w:qFormat/>
    <w:uiPriority w:val="0"/>
    <w:pPr>
      <w:widowControl/>
      <w:spacing w:line="600" w:lineRule="exact"/>
      <w:contextualSpacing/>
      <w:jc w:val="center"/>
      <w:outlineLvl w:val="1"/>
    </w:pPr>
    <w:rPr>
      <w:rFonts w:ascii="Calibri" w:hAnsi="Calibri"/>
      <w:b/>
      <w:bCs/>
      <w:sz w:val="28"/>
      <w:szCs w:val="28"/>
    </w:rPr>
  </w:style>
  <w:style w:type="character" w:customStyle="1" w:styleId="70">
    <w:name w:val="正文文本缩进 2 Char1"/>
    <w:semiHidden/>
    <w:qFormat/>
    <w:uiPriority w:val="99"/>
    <w:rPr>
      <w:rFonts w:hint="default" w:ascii="Times New Roman" w:hAnsi="Times New Roman" w:eastAsia="宋体" w:cs="Times New Roman"/>
      <w:szCs w:val="24"/>
    </w:rPr>
  </w:style>
  <w:style w:type="character" w:customStyle="1" w:styleId="71">
    <w:name w:val="标题 7 Char"/>
    <w:link w:val="11"/>
    <w:qFormat/>
    <w:uiPriority w:val="0"/>
    <w:rPr>
      <w:rFonts w:ascii="宋体" w:hAnsi="宋体"/>
      <w:b/>
      <w:bCs/>
      <w:sz w:val="24"/>
      <w:szCs w:val="24"/>
    </w:rPr>
  </w:style>
  <w:style w:type="character" w:customStyle="1" w:styleId="72">
    <w:name w:val="纯文本 Char"/>
    <w:qFormat/>
    <w:uiPriority w:val="0"/>
    <w:rPr>
      <w:rFonts w:ascii="宋体" w:hAnsi="Courier New" w:eastAsia="宋体" w:cs="Courier New"/>
      <w:kern w:val="2"/>
      <w:sz w:val="21"/>
      <w:szCs w:val="21"/>
      <w:lang w:val="en-US" w:eastAsia="zh-CN" w:bidi="ar-SA"/>
    </w:rPr>
  </w:style>
  <w:style w:type="character" w:customStyle="1" w:styleId="73">
    <w:name w:val="标题 4 Char_0"/>
    <w:link w:val="74"/>
    <w:qFormat/>
    <w:uiPriority w:val="9"/>
    <w:rPr>
      <w:rFonts w:ascii="Cambria" w:hAnsi="Cambria"/>
      <w:b/>
      <w:bCs/>
      <w:kern w:val="2"/>
      <w:sz w:val="28"/>
      <w:szCs w:val="28"/>
    </w:rPr>
  </w:style>
  <w:style w:type="paragraph" w:customStyle="1" w:styleId="74">
    <w:name w:val="标题 4_0"/>
    <w:basedOn w:val="75"/>
    <w:next w:val="75"/>
    <w:link w:val="73"/>
    <w:unhideWhenUsed/>
    <w:qFormat/>
    <w:uiPriority w:val="9"/>
    <w:pPr>
      <w:keepNext/>
      <w:keepLines/>
      <w:spacing w:before="280" w:after="290" w:line="376" w:lineRule="auto"/>
      <w:outlineLvl w:val="3"/>
    </w:pPr>
    <w:rPr>
      <w:rFonts w:ascii="Cambria" w:hAnsi="Cambria"/>
      <w:b/>
      <w:bCs/>
      <w:sz w:val="28"/>
      <w:szCs w:val="28"/>
    </w:rPr>
  </w:style>
  <w:style w:type="paragraph" w:customStyle="1" w:styleId="75">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76">
    <w:name w:val="明显引用 Char"/>
    <w:link w:val="77"/>
    <w:qFormat/>
    <w:uiPriority w:val="0"/>
    <w:rPr>
      <w:rFonts w:ascii="Calibri" w:hAnsi="Calibri"/>
      <w:b/>
      <w:bCs/>
      <w:i/>
      <w:iCs/>
      <w:color w:val="4F81BD"/>
      <w:kern w:val="2"/>
      <w:sz w:val="21"/>
      <w:szCs w:val="22"/>
    </w:rPr>
  </w:style>
  <w:style w:type="paragraph" w:styleId="77">
    <w:name w:val="Intense Quote"/>
    <w:basedOn w:val="1"/>
    <w:next w:val="1"/>
    <w:link w:val="76"/>
    <w:qFormat/>
    <w:uiPriority w:val="0"/>
    <w:pPr>
      <w:pBdr>
        <w:bottom w:val="single" w:color="4F81BD" w:sz="4" w:space="4"/>
      </w:pBdr>
      <w:spacing w:before="200" w:after="280"/>
      <w:ind w:left="936" w:right="936"/>
    </w:pPr>
    <w:rPr>
      <w:rFonts w:ascii="Calibri" w:hAnsi="Calibri"/>
      <w:b/>
      <w:bCs/>
      <w:i/>
      <w:iCs/>
      <w:color w:val="4F81BD"/>
    </w:rPr>
  </w:style>
  <w:style w:type="character" w:customStyle="1" w:styleId="78">
    <w:name w:val="标题 3 Char_1_0"/>
    <w:link w:val="79"/>
    <w:qFormat/>
    <w:uiPriority w:val="0"/>
    <w:rPr>
      <w:rFonts w:ascii="Calibri" w:hAnsi="Calibri"/>
      <w:b/>
      <w:bCs/>
      <w:kern w:val="2"/>
      <w:sz w:val="24"/>
      <w:szCs w:val="22"/>
      <w:lang w:val="en-US" w:eastAsia="zh-CN"/>
    </w:rPr>
  </w:style>
  <w:style w:type="paragraph" w:customStyle="1" w:styleId="79">
    <w:name w:val="标题 3_1_0"/>
    <w:basedOn w:val="80"/>
    <w:next w:val="80"/>
    <w:link w:val="78"/>
    <w:qFormat/>
    <w:uiPriority w:val="0"/>
    <w:pPr>
      <w:keepNext/>
      <w:keepLines/>
      <w:widowControl/>
      <w:spacing w:after="120" w:line="500" w:lineRule="exact"/>
      <w:jc w:val="left"/>
      <w:outlineLvl w:val="2"/>
    </w:pPr>
    <w:rPr>
      <w:rFonts w:ascii="Calibri" w:hAnsi="Calibri"/>
      <w:b/>
      <w:bCs/>
      <w:sz w:val="24"/>
    </w:rPr>
  </w:style>
  <w:style w:type="paragraph" w:customStyle="1" w:styleId="80">
    <w:name w:val="正文_4_1"/>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81">
    <w:name w:val="批注主题 Char"/>
    <w:link w:val="42"/>
    <w:semiHidden/>
    <w:qFormat/>
    <w:uiPriority w:val="0"/>
    <w:rPr>
      <w:rFonts w:ascii="宋体" w:hAnsi="宋体"/>
      <w:b/>
      <w:bCs/>
      <w:kern w:val="2"/>
      <w:sz w:val="21"/>
      <w:szCs w:val="24"/>
    </w:rPr>
  </w:style>
  <w:style w:type="character" w:customStyle="1" w:styleId="82">
    <w:name w:val="批注框文本 Char1"/>
    <w:qFormat/>
    <w:uiPriority w:val="0"/>
    <w:rPr>
      <w:kern w:val="2"/>
      <w:sz w:val="18"/>
      <w:szCs w:val="18"/>
    </w:rPr>
  </w:style>
  <w:style w:type="character" w:customStyle="1" w:styleId="83">
    <w:name w:val="标题 3 Char_0_0"/>
    <w:link w:val="84"/>
    <w:qFormat/>
    <w:uiPriority w:val="0"/>
    <w:rPr>
      <w:rFonts w:ascii="Calibri" w:hAnsi="Calibri"/>
      <w:b/>
      <w:bCs/>
      <w:kern w:val="2"/>
      <w:sz w:val="24"/>
      <w:szCs w:val="22"/>
      <w:lang w:val="en-US" w:eastAsia="zh-CN"/>
    </w:rPr>
  </w:style>
  <w:style w:type="paragraph" w:customStyle="1" w:styleId="84">
    <w:name w:val="标题 3_0_0"/>
    <w:basedOn w:val="85"/>
    <w:next w:val="85"/>
    <w:link w:val="83"/>
    <w:qFormat/>
    <w:uiPriority w:val="0"/>
    <w:pPr>
      <w:keepNext/>
      <w:keepLines/>
      <w:widowControl/>
      <w:spacing w:after="120" w:line="500" w:lineRule="exact"/>
      <w:jc w:val="left"/>
      <w:outlineLvl w:val="2"/>
    </w:pPr>
    <w:rPr>
      <w:rFonts w:ascii="Calibri" w:hAnsi="Calibri"/>
      <w:b/>
      <w:bCs/>
      <w:sz w:val="24"/>
    </w:rPr>
  </w:style>
  <w:style w:type="paragraph" w:customStyle="1" w:styleId="85">
    <w:name w:val="正文_3_2"/>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86">
    <w:name w:val="标题 9 Char"/>
    <w:link w:val="13"/>
    <w:qFormat/>
    <w:uiPriority w:val="0"/>
    <w:rPr>
      <w:rFonts w:ascii="Arial" w:hAnsi="Arial" w:eastAsia="黑体"/>
      <w:sz w:val="21"/>
      <w:szCs w:val="21"/>
    </w:rPr>
  </w:style>
  <w:style w:type="character" w:customStyle="1" w:styleId="87">
    <w:name w:val="书籍标题1"/>
    <w:qFormat/>
    <w:uiPriority w:val="0"/>
    <w:rPr>
      <w:b/>
      <w:bCs/>
      <w:smallCaps/>
      <w:spacing w:val="5"/>
    </w:rPr>
  </w:style>
  <w:style w:type="character" w:customStyle="1" w:styleId="88">
    <w:name w:val="批注框文本 Char"/>
    <w:link w:val="29"/>
    <w:semiHidden/>
    <w:qFormat/>
    <w:uiPriority w:val="0"/>
    <w:rPr>
      <w:rFonts w:ascii="宋体" w:hAnsi="宋体"/>
      <w:kern w:val="2"/>
      <w:sz w:val="18"/>
      <w:szCs w:val="18"/>
    </w:rPr>
  </w:style>
  <w:style w:type="character" w:customStyle="1" w:styleId="89">
    <w:name w:val="标题 Char1"/>
    <w:qFormat/>
    <w:uiPriority w:val="10"/>
    <w:rPr>
      <w:rFonts w:hint="default" w:ascii="Cambria" w:hAnsi="Cambria" w:cs="Times New Roman"/>
      <w:b/>
      <w:bCs/>
      <w:kern w:val="2"/>
      <w:sz w:val="32"/>
      <w:szCs w:val="32"/>
    </w:rPr>
  </w:style>
  <w:style w:type="character" w:customStyle="1" w:styleId="90">
    <w:name w:val="标题 3 Char"/>
    <w:link w:val="7"/>
    <w:qFormat/>
    <w:uiPriority w:val="0"/>
    <w:rPr>
      <w:rFonts w:ascii="宋体" w:hAnsi="宋体"/>
      <w:b/>
      <w:bCs/>
      <w:kern w:val="2"/>
      <w:sz w:val="24"/>
      <w:szCs w:val="24"/>
    </w:rPr>
  </w:style>
  <w:style w:type="character" w:customStyle="1" w:styleId="91">
    <w:name w:val="明显强调1"/>
    <w:qFormat/>
    <w:uiPriority w:val="0"/>
    <w:rPr>
      <w:rFonts w:eastAsia="仿宋_GB2312"/>
      <w:bCs/>
      <w:iCs/>
      <w:color w:val="auto"/>
      <w:sz w:val="32"/>
    </w:rPr>
  </w:style>
  <w:style w:type="character" w:customStyle="1" w:styleId="92">
    <w:name w:val="页眉 Char1"/>
    <w:semiHidden/>
    <w:qFormat/>
    <w:uiPriority w:val="99"/>
    <w:rPr>
      <w:kern w:val="2"/>
      <w:sz w:val="18"/>
      <w:szCs w:val="18"/>
    </w:rPr>
  </w:style>
  <w:style w:type="character" w:customStyle="1" w:styleId="93">
    <w:name w:val="标题 3 Char_0"/>
    <w:link w:val="94"/>
    <w:qFormat/>
    <w:uiPriority w:val="0"/>
    <w:rPr>
      <w:rFonts w:ascii="Calibri" w:hAnsi="Calibri"/>
      <w:b/>
      <w:bCs/>
      <w:kern w:val="2"/>
      <w:sz w:val="32"/>
      <w:szCs w:val="32"/>
    </w:rPr>
  </w:style>
  <w:style w:type="paragraph" w:customStyle="1" w:styleId="94">
    <w:name w:val="标题 3_1"/>
    <w:basedOn w:val="95"/>
    <w:next w:val="96"/>
    <w:link w:val="93"/>
    <w:unhideWhenUsed/>
    <w:qFormat/>
    <w:uiPriority w:val="0"/>
    <w:pPr>
      <w:keepNext/>
      <w:keepLines/>
      <w:spacing w:before="260" w:after="260" w:line="416" w:lineRule="auto"/>
      <w:outlineLvl w:val="2"/>
    </w:pPr>
    <w:rPr>
      <w:rFonts w:ascii="Calibri" w:hAnsi="Calibri"/>
      <w:b/>
      <w:bCs/>
      <w:sz w:val="32"/>
      <w:szCs w:val="32"/>
    </w:rPr>
  </w:style>
  <w:style w:type="paragraph" w:customStyle="1" w:styleId="95">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6">
    <w:name w:val="正文_0_3"/>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97">
    <w:name w:val="日期 Char2"/>
    <w:semiHidden/>
    <w:qFormat/>
    <w:uiPriority w:val="99"/>
    <w:rPr>
      <w:kern w:val="2"/>
      <w:sz w:val="21"/>
      <w:szCs w:val="22"/>
    </w:rPr>
  </w:style>
  <w:style w:type="character" w:customStyle="1" w:styleId="98">
    <w:name w:val="标题 3 Char_1"/>
    <w:qFormat/>
    <w:uiPriority w:val="0"/>
    <w:rPr>
      <w:rFonts w:ascii="Calibri" w:hAnsi="Calibri" w:eastAsia="宋体" w:cs="Times New Roman"/>
      <w:b/>
      <w:bCs/>
      <w:sz w:val="24"/>
    </w:rPr>
  </w:style>
  <w:style w:type="character" w:customStyle="1" w:styleId="99">
    <w:name w:val="标题 1 Char"/>
    <w:link w:val="5"/>
    <w:qFormat/>
    <w:uiPriority w:val="0"/>
    <w:rPr>
      <w:rFonts w:ascii="宋体" w:hAnsi="宋体" w:eastAsia="宋体"/>
      <w:b/>
      <w:snapToGrid/>
      <w:sz w:val="36"/>
      <w:szCs w:val="44"/>
    </w:rPr>
  </w:style>
  <w:style w:type="character" w:customStyle="1" w:styleId="100">
    <w:name w:val="引用 Char2"/>
    <w:qFormat/>
    <w:uiPriority w:val="29"/>
    <w:rPr>
      <w:i/>
      <w:iCs/>
      <w:color w:val="000000"/>
      <w:kern w:val="2"/>
      <w:sz w:val="21"/>
      <w:szCs w:val="22"/>
    </w:rPr>
  </w:style>
  <w:style w:type="character" w:customStyle="1" w:styleId="101">
    <w:name w:val="批注文字 Char1"/>
    <w:semiHidden/>
    <w:qFormat/>
    <w:uiPriority w:val="99"/>
    <w:rPr>
      <w:kern w:val="2"/>
      <w:sz w:val="21"/>
      <w:szCs w:val="22"/>
    </w:rPr>
  </w:style>
  <w:style w:type="character" w:customStyle="1" w:styleId="102">
    <w:name w:val="副标题 Char"/>
    <w:link w:val="34"/>
    <w:qFormat/>
    <w:uiPriority w:val="0"/>
    <w:rPr>
      <w:rFonts w:ascii="Cambria" w:hAnsi="Cambria" w:eastAsia="华文楷体"/>
      <w:b/>
      <w:bCs/>
      <w:kern w:val="28"/>
      <w:sz w:val="32"/>
      <w:szCs w:val="32"/>
      <w:lang w:bidi="ar-SA"/>
    </w:rPr>
  </w:style>
  <w:style w:type="character" w:customStyle="1" w:styleId="103">
    <w:name w:val="标题 4 Char"/>
    <w:link w:val="8"/>
    <w:qFormat/>
    <w:uiPriority w:val="0"/>
    <w:rPr>
      <w:rFonts w:ascii="宋体" w:hAnsi="宋体"/>
      <w:kern w:val="2"/>
      <w:sz w:val="24"/>
      <w:szCs w:val="28"/>
    </w:rPr>
  </w:style>
  <w:style w:type="character" w:customStyle="1" w:styleId="104">
    <w:name w:val="标题 2 Char"/>
    <w:link w:val="6"/>
    <w:qFormat/>
    <w:uiPriority w:val="0"/>
    <w:rPr>
      <w:rFonts w:ascii="宋体" w:hAnsi="宋体"/>
      <w:b/>
      <w:bCs/>
      <w:kern w:val="2"/>
      <w:sz w:val="28"/>
      <w:szCs w:val="28"/>
    </w:rPr>
  </w:style>
  <w:style w:type="character" w:customStyle="1" w:styleId="105">
    <w:name w:val="批注主题 Char2"/>
    <w:semiHidden/>
    <w:qFormat/>
    <w:uiPriority w:val="99"/>
    <w:rPr>
      <w:b/>
      <w:bCs/>
      <w:kern w:val="2"/>
      <w:sz w:val="21"/>
      <w:szCs w:val="22"/>
    </w:rPr>
  </w:style>
  <w:style w:type="character" w:customStyle="1" w:styleId="106">
    <w:name w:val="标题 2 Char_0_0"/>
    <w:link w:val="107"/>
    <w:qFormat/>
    <w:uiPriority w:val="0"/>
    <w:rPr>
      <w:rFonts w:ascii="Calibri" w:hAnsi="Calibri"/>
      <w:b/>
      <w:bCs/>
      <w:kern w:val="2"/>
      <w:sz w:val="28"/>
      <w:szCs w:val="28"/>
      <w:lang w:val="en-US" w:eastAsia="zh-CN"/>
    </w:rPr>
  </w:style>
  <w:style w:type="paragraph" w:customStyle="1" w:styleId="107">
    <w:name w:val="标题 2_0_0"/>
    <w:basedOn w:val="108"/>
    <w:next w:val="109"/>
    <w:link w:val="106"/>
    <w:qFormat/>
    <w:uiPriority w:val="0"/>
    <w:pPr>
      <w:widowControl/>
      <w:spacing w:line="600" w:lineRule="exact"/>
      <w:contextualSpacing/>
      <w:jc w:val="center"/>
      <w:outlineLvl w:val="1"/>
    </w:pPr>
    <w:rPr>
      <w:rFonts w:ascii="Calibri" w:hAnsi="Calibri"/>
      <w:b/>
      <w:bCs/>
      <w:sz w:val="28"/>
      <w:szCs w:val="28"/>
    </w:rPr>
  </w:style>
  <w:style w:type="paragraph" w:customStyle="1" w:styleId="108">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9">
    <w:name w:val="正文缩进_0_0"/>
    <w:basedOn w:val="108"/>
    <w:unhideWhenUsed/>
    <w:qFormat/>
    <w:uiPriority w:val="99"/>
    <w:pPr>
      <w:ind w:firstLine="420"/>
    </w:pPr>
    <w:rPr>
      <w:rFonts w:ascii="Calibri" w:hAnsi="Calibri"/>
    </w:rPr>
  </w:style>
  <w:style w:type="character" w:customStyle="1" w:styleId="110">
    <w:name w:val="正文文本 3 Char"/>
    <w:link w:val="20"/>
    <w:qFormat/>
    <w:uiPriority w:val="0"/>
    <w:rPr>
      <w:rFonts w:ascii="宋体" w:eastAsia="宋体"/>
      <w:kern w:val="2"/>
      <w:sz w:val="24"/>
      <w:lang w:val="en-US" w:eastAsia="zh-CN" w:bidi="ar-SA"/>
    </w:rPr>
  </w:style>
  <w:style w:type="character" w:customStyle="1" w:styleId="111">
    <w:name w:val="标题 5 Char"/>
    <w:link w:val="9"/>
    <w:qFormat/>
    <w:uiPriority w:val="0"/>
    <w:rPr>
      <w:b/>
      <w:bCs/>
      <w:sz w:val="28"/>
      <w:szCs w:val="28"/>
    </w:rPr>
  </w:style>
  <w:style w:type="character" w:customStyle="1" w:styleId="112">
    <w:name w:val="不明显参考1"/>
    <w:qFormat/>
    <w:uiPriority w:val="0"/>
    <w:rPr>
      <w:smallCaps/>
      <w:color w:val="C0504D"/>
      <w:u w:val="single"/>
    </w:rPr>
  </w:style>
  <w:style w:type="character" w:customStyle="1" w:styleId="113">
    <w:name w:val="textcontents"/>
    <w:qFormat/>
    <w:uiPriority w:val="0"/>
    <w:rPr>
      <w:rFonts w:hint="default" w:ascii="Times New Roman" w:hAnsi="Times New Roman" w:cs="Times New Roman"/>
    </w:rPr>
  </w:style>
  <w:style w:type="character" w:customStyle="1" w:styleId="114">
    <w:name w:val="批注主题 Char1"/>
    <w:qFormat/>
    <w:uiPriority w:val="0"/>
    <w:rPr>
      <w:rFonts w:hint="default" w:ascii="Times New Roman" w:hAnsi="Times New Roman" w:eastAsia="宋体" w:cs="Times New Roman"/>
      <w:b/>
      <w:bCs/>
      <w:szCs w:val="24"/>
    </w:rPr>
  </w:style>
  <w:style w:type="character" w:customStyle="1" w:styleId="115">
    <w:name w:val="正文文本缩进 字符"/>
    <w:link w:val="116"/>
    <w:qFormat/>
    <w:uiPriority w:val="0"/>
    <w:rPr>
      <w:kern w:val="2"/>
      <w:sz w:val="21"/>
      <w:szCs w:val="24"/>
      <w:lang w:val="en-US" w:eastAsia="zh-CN"/>
    </w:rPr>
  </w:style>
  <w:style w:type="paragraph" w:customStyle="1" w:styleId="116">
    <w:name w:val="正文文本缩进_0"/>
    <w:basedOn w:val="117"/>
    <w:link w:val="115"/>
    <w:qFormat/>
    <w:uiPriority w:val="0"/>
    <w:pPr>
      <w:spacing w:after="120"/>
      <w:ind w:left="420" w:leftChars="200"/>
    </w:pPr>
    <w:rPr>
      <w:kern w:val="2"/>
      <w:sz w:val="21"/>
      <w:szCs w:val="24"/>
    </w:rPr>
  </w:style>
  <w:style w:type="paragraph" w:customStyle="1" w:styleId="117">
    <w:name w:val="正文_1_0"/>
    <w:qFormat/>
    <w:uiPriority w:val="0"/>
    <w:pPr>
      <w:widowControl w:val="0"/>
      <w:jc w:val="both"/>
    </w:pPr>
    <w:rPr>
      <w:rFonts w:ascii="Times New Roman" w:hAnsi="Times New Roman" w:eastAsia="宋体" w:cs="Times New Roman"/>
      <w:lang w:val="en-US" w:eastAsia="zh-CN" w:bidi="ar-SA"/>
    </w:rPr>
  </w:style>
  <w:style w:type="character" w:customStyle="1" w:styleId="118">
    <w:name w:val="批注框文本 Char2"/>
    <w:semiHidden/>
    <w:qFormat/>
    <w:uiPriority w:val="99"/>
    <w:rPr>
      <w:kern w:val="2"/>
      <w:sz w:val="18"/>
      <w:szCs w:val="18"/>
    </w:rPr>
  </w:style>
  <w:style w:type="character" w:customStyle="1" w:styleId="119">
    <w:name w:val="正文文本 Char1"/>
    <w:qFormat/>
    <w:uiPriority w:val="0"/>
    <w:rPr>
      <w:kern w:val="2"/>
      <w:sz w:val="21"/>
      <w:szCs w:val="22"/>
    </w:rPr>
  </w:style>
  <w:style w:type="character" w:customStyle="1" w:styleId="120">
    <w:name w:val="标题4 Char Char"/>
    <w:link w:val="121"/>
    <w:semiHidden/>
    <w:qFormat/>
    <w:locked/>
    <w:uiPriority w:val="0"/>
    <w:rPr>
      <w:rFonts w:ascii="Arial" w:hAnsi="Arial" w:cs="Arial"/>
      <w:b/>
      <w:bCs/>
      <w:sz w:val="24"/>
      <w:szCs w:val="32"/>
    </w:rPr>
  </w:style>
  <w:style w:type="paragraph" w:customStyle="1" w:styleId="121">
    <w:name w:val="标题4"/>
    <w:basedOn w:val="6"/>
    <w:next w:val="22"/>
    <w:link w:val="120"/>
    <w:semiHidden/>
    <w:qFormat/>
    <w:uiPriority w:val="0"/>
    <w:pPr>
      <w:keepNext/>
      <w:keepLines/>
      <w:spacing w:before="260" w:after="260" w:line="410" w:lineRule="auto"/>
      <w:jc w:val="both"/>
    </w:pPr>
    <w:rPr>
      <w:rFonts w:ascii="Arial" w:hAnsi="Arial"/>
      <w:kern w:val="0"/>
      <w:sz w:val="24"/>
      <w:szCs w:val="32"/>
    </w:rPr>
  </w:style>
  <w:style w:type="character" w:customStyle="1" w:styleId="122">
    <w:name w:val="标题 3 Char1"/>
    <w:link w:val="123"/>
    <w:qFormat/>
    <w:uiPriority w:val="0"/>
    <w:rPr>
      <w:b/>
      <w:bCs/>
      <w:sz w:val="32"/>
      <w:szCs w:val="32"/>
    </w:rPr>
  </w:style>
  <w:style w:type="paragraph" w:customStyle="1" w:styleId="123">
    <w:name w:val="标题 3_0"/>
    <w:basedOn w:val="108"/>
    <w:next w:val="108"/>
    <w:link w:val="122"/>
    <w:qFormat/>
    <w:uiPriority w:val="0"/>
    <w:pPr>
      <w:spacing w:before="260" w:after="260" w:line="416" w:lineRule="auto"/>
      <w:outlineLvl w:val="2"/>
    </w:pPr>
    <w:rPr>
      <w:b/>
      <w:bCs/>
      <w:kern w:val="0"/>
      <w:sz w:val="32"/>
      <w:szCs w:val="32"/>
    </w:rPr>
  </w:style>
  <w:style w:type="paragraph" w:customStyle="1" w:styleId="124">
    <w:name w:val="正文_0"/>
    <w:qFormat/>
    <w:uiPriority w:val="0"/>
    <w:pPr>
      <w:widowControl w:val="0"/>
      <w:jc w:val="both"/>
    </w:pPr>
    <w:rPr>
      <w:rFonts w:ascii="Times New Roman" w:hAnsi="Times New Roman" w:eastAsia="宋体" w:cs="Times New Roman"/>
      <w:kern w:val="2"/>
      <w:sz w:val="21"/>
      <w:szCs w:val="21"/>
      <w:lang w:val="en-US" w:eastAsia="zh-CN" w:bidi="ar-SA"/>
    </w:rPr>
  </w:style>
  <w:style w:type="character" w:customStyle="1" w:styleId="125">
    <w:name w:val="标题 Char_0"/>
    <w:link w:val="126"/>
    <w:qFormat/>
    <w:uiPriority w:val="0"/>
    <w:rPr>
      <w:rFonts w:ascii="Arial" w:hAnsi="Arial"/>
      <w:b/>
      <w:kern w:val="2"/>
      <w:sz w:val="32"/>
      <w:szCs w:val="22"/>
      <w:lang w:val="en-US" w:eastAsia="zh-CN"/>
    </w:rPr>
  </w:style>
  <w:style w:type="paragraph" w:customStyle="1" w:styleId="126">
    <w:name w:val="标题_0"/>
    <w:basedOn w:val="67"/>
    <w:link w:val="125"/>
    <w:qFormat/>
    <w:uiPriority w:val="0"/>
    <w:pPr>
      <w:widowControl/>
      <w:adjustRightInd w:val="0"/>
      <w:spacing w:before="240" w:after="60" w:line="420" w:lineRule="atLeast"/>
      <w:jc w:val="center"/>
      <w:textAlignment w:val="baseline"/>
      <w:outlineLvl w:val="0"/>
    </w:pPr>
    <w:rPr>
      <w:rFonts w:ascii="Arial" w:hAnsi="Arial"/>
      <w:b/>
      <w:sz w:val="32"/>
    </w:rPr>
  </w:style>
  <w:style w:type="character" w:customStyle="1" w:styleId="127">
    <w:name w:val="标题 8 Char"/>
    <w:link w:val="12"/>
    <w:qFormat/>
    <w:uiPriority w:val="0"/>
    <w:rPr>
      <w:rFonts w:ascii="Arial" w:hAnsi="Arial" w:eastAsia="黑体"/>
      <w:sz w:val="24"/>
      <w:szCs w:val="24"/>
    </w:rPr>
  </w:style>
  <w:style w:type="character" w:customStyle="1" w:styleId="128">
    <w:name w:val="批注文字 Char Char"/>
    <w:qFormat/>
    <w:uiPriority w:val="0"/>
    <w:rPr>
      <w:rFonts w:hint="eastAsia" w:ascii="宋体" w:hAnsi="Times New Roman" w:eastAsia="宋体" w:cs="Times New Roman"/>
      <w:sz w:val="28"/>
      <w:szCs w:val="20"/>
    </w:rPr>
  </w:style>
  <w:style w:type="character" w:customStyle="1" w:styleId="129">
    <w:name w:val="引用 Char"/>
    <w:link w:val="130"/>
    <w:qFormat/>
    <w:uiPriority w:val="0"/>
    <w:rPr>
      <w:rFonts w:ascii="Calibri" w:hAnsi="Calibri"/>
      <w:i/>
      <w:iCs/>
      <w:color w:val="000000"/>
      <w:kern w:val="2"/>
      <w:sz w:val="21"/>
      <w:szCs w:val="22"/>
    </w:rPr>
  </w:style>
  <w:style w:type="paragraph" w:styleId="130">
    <w:name w:val="Quote"/>
    <w:basedOn w:val="1"/>
    <w:next w:val="1"/>
    <w:link w:val="129"/>
    <w:qFormat/>
    <w:uiPriority w:val="0"/>
    <w:rPr>
      <w:rFonts w:ascii="Calibri" w:hAnsi="Calibri"/>
      <w:i/>
      <w:iCs/>
      <w:color w:val="000000"/>
    </w:rPr>
  </w:style>
  <w:style w:type="character" w:customStyle="1" w:styleId="131">
    <w:name w:val="文档结构图 Char1"/>
    <w:qFormat/>
    <w:uiPriority w:val="0"/>
    <w:rPr>
      <w:rFonts w:hint="eastAsia" w:ascii="宋体" w:hAnsi="宋体" w:eastAsia="宋体"/>
      <w:kern w:val="2"/>
      <w:sz w:val="18"/>
      <w:szCs w:val="18"/>
    </w:rPr>
  </w:style>
  <w:style w:type="character" w:customStyle="1" w:styleId="132">
    <w:name w:val="正文文本 Char2"/>
    <w:semiHidden/>
    <w:qFormat/>
    <w:uiPriority w:val="99"/>
    <w:rPr>
      <w:kern w:val="2"/>
      <w:sz w:val="21"/>
      <w:szCs w:val="22"/>
    </w:rPr>
  </w:style>
  <w:style w:type="character" w:customStyle="1" w:styleId="133">
    <w:name w:val="页脚 Char1"/>
    <w:semiHidden/>
    <w:qFormat/>
    <w:uiPriority w:val="99"/>
    <w:rPr>
      <w:kern w:val="2"/>
      <w:sz w:val="18"/>
      <w:szCs w:val="18"/>
    </w:rPr>
  </w:style>
  <w:style w:type="character" w:customStyle="1" w:styleId="134">
    <w:name w:val="页脚 Char"/>
    <w:link w:val="30"/>
    <w:qFormat/>
    <w:uiPriority w:val="99"/>
    <w:rPr>
      <w:kern w:val="2"/>
      <w:sz w:val="18"/>
      <w:szCs w:val="18"/>
    </w:rPr>
  </w:style>
  <w:style w:type="character" w:customStyle="1" w:styleId="135">
    <w:name w:val="正文文本缩进 2 Char"/>
    <w:link w:val="28"/>
    <w:qFormat/>
    <w:uiPriority w:val="0"/>
    <w:rPr>
      <w:rFonts w:ascii="宋体" w:hAnsi="宋体"/>
      <w:sz w:val="21"/>
    </w:rPr>
  </w:style>
  <w:style w:type="character" w:customStyle="1" w:styleId="136">
    <w:name w:val="日期 Char"/>
    <w:link w:val="27"/>
    <w:qFormat/>
    <w:uiPriority w:val="0"/>
    <w:rPr>
      <w:rFonts w:ascii="宋体" w:hAnsi="宋体"/>
      <w:kern w:val="2"/>
      <w:sz w:val="21"/>
      <w:szCs w:val="24"/>
    </w:rPr>
  </w:style>
  <w:style w:type="character" w:customStyle="1" w:styleId="137">
    <w:name w:val="标题 2 Char_2"/>
    <w:link w:val="138"/>
    <w:qFormat/>
    <w:uiPriority w:val="0"/>
    <w:rPr>
      <w:rFonts w:ascii="Calibri" w:hAnsi="Calibri"/>
      <w:b/>
      <w:bCs/>
      <w:kern w:val="2"/>
      <w:sz w:val="28"/>
      <w:szCs w:val="28"/>
      <w:lang w:val="en-US" w:eastAsia="zh-CN"/>
    </w:rPr>
  </w:style>
  <w:style w:type="paragraph" w:customStyle="1" w:styleId="138">
    <w:name w:val="标题 2_2"/>
    <w:basedOn w:val="139"/>
    <w:next w:val="139"/>
    <w:link w:val="137"/>
    <w:qFormat/>
    <w:uiPriority w:val="0"/>
    <w:pPr>
      <w:widowControl/>
      <w:spacing w:line="600" w:lineRule="exact"/>
      <w:contextualSpacing/>
      <w:jc w:val="center"/>
      <w:outlineLvl w:val="1"/>
    </w:pPr>
    <w:rPr>
      <w:rFonts w:ascii="Calibri" w:hAnsi="Calibri"/>
      <w:b/>
      <w:bCs/>
      <w:sz w:val="28"/>
      <w:szCs w:val="28"/>
    </w:rPr>
  </w:style>
  <w:style w:type="paragraph" w:customStyle="1" w:styleId="139">
    <w:name w:val="正文_1_2"/>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40">
    <w:name w:val="副标题 Char1"/>
    <w:qFormat/>
    <w:uiPriority w:val="11"/>
    <w:rPr>
      <w:rFonts w:hint="default" w:ascii="Cambria" w:hAnsi="Cambria" w:cs="Times New Roman"/>
      <w:b/>
      <w:bCs/>
      <w:kern w:val="28"/>
      <w:sz w:val="32"/>
      <w:szCs w:val="32"/>
    </w:rPr>
  </w:style>
  <w:style w:type="character" w:customStyle="1" w:styleId="141">
    <w:name w:val="日期 Char1"/>
    <w:qFormat/>
    <w:uiPriority w:val="0"/>
    <w:rPr>
      <w:kern w:val="2"/>
      <w:sz w:val="21"/>
      <w:szCs w:val="22"/>
    </w:rPr>
  </w:style>
  <w:style w:type="character" w:customStyle="1" w:styleId="142">
    <w:name w:val="文档结构图 Char2"/>
    <w:semiHidden/>
    <w:qFormat/>
    <w:uiPriority w:val="99"/>
    <w:rPr>
      <w:rFonts w:hint="eastAsia" w:ascii="宋体" w:hAnsi="宋体" w:eastAsia="宋体"/>
      <w:kern w:val="2"/>
      <w:sz w:val="18"/>
      <w:szCs w:val="18"/>
    </w:rPr>
  </w:style>
  <w:style w:type="character" w:customStyle="1" w:styleId="143">
    <w:name w:val="正文文本缩进 Char"/>
    <w:link w:val="3"/>
    <w:qFormat/>
    <w:uiPriority w:val="0"/>
    <w:rPr>
      <w:rFonts w:ascii="宋体" w:hAnsi="宋体"/>
      <w:kern w:val="2"/>
      <w:sz w:val="21"/>
      <w:szCs w:val="24"/>
    </w:rPr>
  </w:style>
  <w:style w:type="character" w:customStyle="1" w:styleId="144">
    <w:name w:val="明显参考1"/>
    <w:qFormat/>
    <w:uiPriority w:val="0"/>
    <w:rPr>
      <w:b/>
      <w:bCs/>
      <w:smallCaps/>
      <w:color w:val="C0504D"/>
      <w:spacing w:val="5"/>
      <w:u w:val="single"/>
    </w:rPr>
  </w:style>
  <w:style w:type="character" w:customStyle="1" w:styleId="145">
    <w:name w:val="页眉 Char"/>
    <w:link w:val="31"/>
    <w:qFormat/>
    <w:uiPriority w:val="99"/>
    <w:rPr>
      <w:rFonts w:ascii="宋体" w:hAnsi="宋体"/>
      <w:kern w:val="2"/>
      <w:sz w:val="18"/>
      <w:szCs w:val="18"/>
    </w:rPr>
  </w:style>
  <w:style w:type="character" w:customStyle="1" w:styleId="146">
    <w:name w:val="font161"/>
    <w:qFormat/>
    <w:uiPriority w:val="0"/>
    <w:rPr>
      <w:b/>
      <w:bCs/>
      <w:sz w:val="32"/>
      <w:szCs w:val="32"/>
    </w:rPr>
  </w:style>
  <w:style w:type="character" w:customStyle="1" w:styleId="147">
    <w:name w:val="文档结构图 Char"/>
    <w:link w:val="18"/>
    <w:semiHidden/>
    <w:qFormat/>
    <w:uiPriority w:val="0"/>
    <w:rPr>
      <w:rFonts w:ascii="宋体" w:hAnsi="宋体"/>
      <w:kern w:val="2"/>
      <w:sz w:val="21"/>
      <w:szCs w:val="24"/>
      <w:shd w:val="clear" w:color="auto" w:fill="000080"/>
    </w:rPr>
  </w:style>
  <w:style w:type="character" w:customStyle="1" w:styleId="148">
    <w:name w:val="正文文本缩进 3 Char"/>
    <w:link w:val="36"/>
    <w:qFormat/>
    <w:uiPriority w:val="0"/>
    <w:rPr>
      <w:rFonts w:eastAsia="宋体"/>
      <w:kern w:val="2"/>
      <w:sz w:val="16"/>
      <w:szCs w:val="16"/>
      <w:lang w:val="en-US" w:eastAsia="zh-CN" w:bidi="ar-SA"/>
    </w:rPr>
  </w:style>
  <w:style w:type="character" w:customStyle="1" w:styleId="149">
    <w:name w:val="标题5 Char Char"/>
    <w:link w:val="150"/>
    <w:semiHidden/>
    <w:qFormat/>
    <w:locked/>
    <w:uiPriority w:val="0"/>
    <w:rPr>
      <w:rFonts w:ascii="Arial" w:hAnsi="Arial" w:cs="Arial"/>
      <w:b/>
      <w:bCs/>
      <w:sz w:val="24"/>
      <w:szCs w:val="32"/>
    </w:rPr>
  </w:style>
  <w:style w:type="paragraph" w:customStyle="1" w:styleId="150">
    <w:name w:val="标题5"/>
    <w:basedOn w:val="7"/>
    <w:link w:val="149"/>
    <w:semiHidden/>
    <w:qFormat/>
    <w:uiPriority w:val="0"/>
    <w:pPr>
      <w:spacing w:before="260" w:after="260" w:line="410" w:lineRule="auto"/>
      <w:jc w:val="both"/>
    </w:pPr>
    <w:rPr>
      <w:rFonts w:ascii="Arial" w:hAnsi="Arial"/>
      <w:kern w:val="0"/>
      <w:szCs w:val="32"/>
    </w:rPr>
  </w:style>
  <w:style w:type="character" w:customStyle="1" w:styleId="151">
    <w:name w:val="纯文本 Char1"/>
    <w:link w:val="25"/>
    <w:qFormat/>
    <w:uiPriority w:val="0"/>
    <w:rPr>
      <w:rFonts w:ascii="宋体" w:hAnsi="Courier New" w:eastAsia="宋体" w:cs="Courier New"/>
      <w:kern w:val="2"/>
      <w:sz w:val="21"/>
      <w:szCs w:val="21"/>
      <w:lang w:val="en-US" w:eastAsia="zh-CN" w:bidi="ar-SA"/>
    </w:rPr>
  </w:style>
  <w:style w:type="character" w:customStyle="1" w:styleId="152">
    <w:name w:val="标题 6 Char"/>
    <w:link w:val="10"/>
    <w:qFormat/>
    <w:uiPriority w:val="0"/>
    <w:rPr>
      <w:rFonts w:ascii="Arial" w:hAnsi="Arial" w:eastAsia="黑体"/>
      <w:b/>
      <w:bCs/>
      <w:sz w:val="24"/>
      <w:szCs w:val="24"/>
    </w:rPr>
  </w:style>
  <w:style w:type="character" w:customStyle="1" w:styleId="153">
    <w:name w:val="正文文本 Char4"/>
    <w:link w:val="154"/>
    <w:semiHidden/>
    <w:qFormat/>
    <w:uiPriority w:val="0"/>
  </w:style>
  <w:style w:type="paragraph" w:customStyle="1" w:styleId="154">
    <w:name w:val="正文文本_0"/>
    <w:basedOn w:val="124"/>
    <w:link w:val="153"/>
    <w:semiHidden/>
    <w:qFormat/>
    <w:uiPriority w:val="0"/>
    <w:pPr>
      <w:spacing w:after="120"/>
    </w:pPr>
    <w:rPr>
      <w:rFonts w:ascii="Calibri" w:hAnsi="Calibri"/>
    </w:rPr>
  </w:style>
  <w:style w:type="character" w:customStyle="1" w:styleId="155">
    <w:name w:val="标题 Char"/>
    <w:link w:val="41"/>
    <w:qFormat/>
    <w:uiPriority w:val="0"/>
    <w:rPr>
      <w:rFonts w:ascii="Arial" w:hAnsi="Arial"/>
      <w:b/>
      <w:sz w:val="32"/>
    </w:rPr>
  </w:style>
  <w:style w:type="character" w:customStyle="1" w:styleId="156">
    <w:name w:val="不明显强调1"/>
    <w:qFormat/>
    <w:uiPriority w:val="0"/>
    <w:rPr>
      <w:i/>
      <w:iCs/>
      <w:color w:val="808080"/>
    </w:rPr>
  </w:style>
  <w:style w:type="character" w:customStyle="1" w:styleId="157">
    <w:name w:val="正文文本 Char"/>
    <w:link w:val="21"/>
    <w:qFormat/>
    <w:uiPriority w:val="0"/>
    <w:rPr>
      <w:rFonts w:ascii="宋体" w:hAnsi="宋体"/>
      <w:kern w:val="2"/>
      <w:sz w:val="21"/>
      <w:szCs w:val="24"/>
    </w:rPr>
  </w:style>
  <w:style w:type="character" w:customStyle="1" w:styleId="158">
    <w:name w:val="unnamed11"/>
    <w:qFormat/>
    <w:uiPriority w:val="0"/>
  </w:style>
  <w:style w:type="paragraph" w:customStyle="1" w:styleId="159">
    <w:name w:val="正文_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0">
    <w:name w:val="正文字缩2字"/>
    <w:basedOn w:val="1"/>
    <w:qFormat/>
    <w:uiPriority w:val="0"/>
    <w:pPr>
      <w:spacing w:before="60" w:after="60" w:line="360" w:lineRule="auto"/>
      <w:ind w:left="200" w:leftChars="200" w:firstLine="200" w:firstLineChars="200"/>
    </w:pPr>
    <w:rPr>
      <w:sz w:val="24"/>
      <w:szCs w:val="24"/>
    </w:rPr>
  </w:style>
  <w:style w:type="paragraph" w:customStyle="1" w:styleId="161">
    <w:name w:val="xl35"/>
    <w:basedOn w:val="1"/>
    <w:qFormat/>
    <w:uiPriority w:val="0"/>
    <w:pPr>
      <w:widowControl/>
      <w:spacing w:before="100" w:beforeAutospacing="1" w:after="100" w:afterAutospacing="1"/>
      <w:jc w:val="center"/>
    </w:pPr>
    <w:rPr>
      <w:rFonts w:ascii="宋体" w:hAnsi="宋体"/>
      <w:b/>
      <w:bCs/>
      <w:kern w:val="0"/>
      <w:sz w:val="36"/>
      <w:szCs w:val="36"/>
    </w:rPr>
  </w:style>
  <w:style w:type="paragraph" w:customStyle="1" w:styleId="162">
    <w:name w:val="列出段落1"/>
    <w:basedOn w:val="1"/>
    <w:qFormat/>
    <w:uiPriority w:val="0"/>
    <w:pPr>
      <w:ind w:firstLine="852" w:firstLineChars="303"/>
      <w:jc w:val="left"/>
    </w:pPr>
    <w:rPr>
      <w:rFonts w:ascii="Calibri" w:hAnsi="Calibri"/>
      <w:b/>
      <w:sz w:val="28"/>
      <w:szCs w:val="28"/>
    </w:rPr>
  </w:style>
  <w:style w:type="paragraph" w:customStyle="1" w:styleId="163">
    <w:name w:val="_Style 2"/>
    <w:basedOn w:val="5"/>
    <w:next w:val="1"/>
    <w:qFormat/>
    <w:uiPriority w:val="39"/>
    <w:pPr>
      <w:widowControl/>
      <w:overflowPunct/>
      <w:adjustRightInd/>
      <w:snapToGrid/>
      <w:spacing w:before="480" w:after="0" w:line="276" w:lineRule="auto"/>
      <w:jc w:val="left"/>
      <w:outlineLvl w:val="9"/>
    </w:pPr>
    <w:rPr>
      <w:rFonts w:ascii="Cambria" w:hAnsi="Cambria"/>
      <w:bCs/>
      <w:color w:val="365F91"/>
      <w:sz w:val="28"/>
      <w:szCs w:val="28"/>
    </w:rPr>
  </w:style>
  <w:style w:type="paragraph" w:customStyle="1" w:styleId="164">
    <w:name w:val="正文_1_2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66">
    <w:name w:val="正文_2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7">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68">
    <w:name w:val="正文_22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9">
    <w:name w:val="条款节部分"/>
    <w:basedOn w:val="1"/>
    <w:qFormat/>
    <w:uiPriority w:val="0"/>
    <w:pPr>
      <w:numPr>
        <w:ilvl w:val="0"/>
        <w:numId w:val="2"/>
      </w:numPr>
    </w:pPr>
    <w:rPr>
      <w:rFonts w:eastAsia="仿宋_GB2312"/>
      <w:sz w:val="32"/>
      <w:szCs w:val="32"/>
    </w:rPr>
  </w:style>
  <w:style w:type="paragraph" w:customStyle="1" w:styleId="170">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171">
    <w:name w:val="纯文本1"/>
    <w:basedOn w:val="1"/>
    <w:qFormat/>
    <w:uiPriority w:val="0"/>
    <w:pPr>
      <w:widowControl/>
      <w:adjustRightInd w:val="0"/>
      <w:spacing w:line="305" w:lineRule="auto"/>
      <w:ind w:firstLine="420"/>
      <w:textAlignment w:val="baseline"/>
    </w:pPr>
    <w:rPr>
      <w:rFonts w:ascii="宋体" w:hAnsi="Courier New"/>
      <w:szCs w:val="20"/>
    </w:rPr>
  </w:style>
  <w:style w:type="paragraph" w:customStyle="1" w:styleId="172">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73">
    <w:name w:val="默认段落字体 Para Char Char Char Char"/>
    <w:basedOn w:val="1"/>
    <w:qFormat/>
    <w:uiPriority w:val="0"/>
    <w:pPr>
      <w:spacing w:line="240" w:lineRule="atLeast"/>
      <w:ind w:left="420" w:firstLine="420"/>
    </w:pPr>
    <w:rPr>
      <w:rFonts w:ascii="Calibri" w:hAnsi="Calibri"/>
    </w:rPr>
  </w:style>
  <w:style w:type="paragraph" w:customStyle="1" w:styleId="174">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rPr>
  </w:style>
  <w:style w:type="paragraph" w:customStyle="1" w:styleId="175">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b/>
      <w:bCs/>
      <w:kern w:val="0"/>
      <w:sz w:val="20"/>
      <w:szCs w:val="20"/>
    </w:rPr>
  </w:style>
  <w:style w:type="paragraph" w:customStyle="1" w:styleId="17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77">
    <w:name w:val="正文_2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8">
    <w:name w:val="xl51"/>
    <w:basedOn w:val="1"/>
    <w:qFormat/>
    <w:uiPriority w:val="0"/>
    <w:pPr>
      <w:widowControl/>
      <w:pBdr>
        <w:bottom w:val="single" w:color="auto" w:sz="4" w:space="0"/>
      </w:pBdr>
      <w:spacing w:before="100" w:beforeAutospacing="1" w:after="100" w:afterAutospacing="1"/>
      <w:jc w:val="left"/>
    </w:pPr>
    <w:rPr>
      <w:rFonts w:ascii="宋体" w:hAnsi="宋体"/>
      <w:kern w:val="0"/>
      <w:sz w:val="20"/>
      <w:szCs w:val="20"/>
    </w:rPr>
  </w:style>
  <w:style w:type="paragraph" w:customStyle="1" w:styleId="179">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8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181">
    <w:name w:val="p20"/>
    <w:basedOn w:val="95"/>
    <w:qFormat/>
    <w:uiPriority w:val="0"/>
    <w:pPr>
      <w:widowControl/>
    </w:pPr>
    <w:rPr>
      <w:rFonts w:ascii="宋体" w:hAnsi="宋体"/>
      <w:kern w:val="0"/>
      <w:szCs w:val="20"/>
    </w:rPr>
  </w:style>
  <w:style w:type="paragraph" w:customStyle="1" w:styleId="182">
    <w:name w:val="xl36"/>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8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84">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rPr>
  </w:style>
  <w:style w:type="paragraph" w:customStyle="1" w:styleId="185">
    <w:name w:val="修订1"/>
    <w:semiHidden/>
    <w:qFormat/>
    <w:uiPriority w:val="0"/>
    <w:rPr>
      <w:rFonts w:ascii="Times New Roman" w:hAnsi="Times New Roman" w:eastAsia="宋体" w:cs="Times New Roman"/>
      <w:kern w:val="2"/>
      <w:sz w:val="21"/>
      <w:szCs w:val="24"/>
      <w:lang w:val="en-US" w:eastAsia="zh-CN" w:bidi="ar-SA"/>
    </w:rPr>
  </w:style>
  <w:style w:type="paragraph" w:customStyle="1" w:styleId="186">
    <w:name w:val="正文_22_0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7">
    <w:name w:val="flNote"/>
    <w:basedOn w:val="1"/>
    <w:semiHidden/>
    <w:qFormat/>
    <w:uiPriority w:val="0"/>
    <w:pPr>
      <w:adjustRightInd w:val="0"/>
      <w:spacing w:before="320" w:after="160" w:line="360" w:lineRule="atLeast"/>
      <w:jc w:val="center"/>
    </w:pPr>
    <w:rPr>
      <w:rFonts w:ascii="Arial" w:eastAsia="黑体"/>
      <w:kern w:val="0"/>
      <w:sz w:val="30"/>
      <w:szCs w:val="20"/>
    </w:rPr>
  </w:style>
  <w:style w:type="paragraph" w:customStyle="1" w:styleId="18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89">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190">
    <w:name w:val="表格"/>
    <w:basedOn w:val="1"/>
    <w:qFormat/>
    <w:uiPriority w:val="0"/>
    <w:pPr>
      <w:jc w:val="center"/>
      <w:textAlignment w:val="center"/>
    </w:pPr>
    <w:rPr>
      <w:rFonts w:ascii="华文细黑" w:hAnsi="华文细黑"/>
      <w:kern w:val="0"/>
      <w:szCs w:val="20"/>
    </w:rPr>
  </w:style>
  <w:style w:type="paragraph" w:customStyle="1" w:styleId="191">
    <w:name w:val="1"/>
    <w:basedOn w:val="1"/>
    <w:next w:val="1"/>
    <w:qFormat/>
    <w:uiPriority w:val="0"/>
  </w:style>
  <w:style w:type="paragraph" w:customStyle="1" w:styleId="192">
    <w:name w:val="正文_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3">
    <w:name w:val="正文_2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94">
    <w:name w:val="xl45"/>
    <w:basedOn w:val="1"/>
    <w:qFormat/>
    <w:uiPriority w:val="0"/>
    <w:pPr>
      <w:widowControl/>
      <w:spacing w:before="100" w:beforeAutospacing="1" w:after="100" w:afterAutospacing="1"/>
      <w:jc w:val="right"/>
    </w:pPr>
    <w:rPr>
      <w:rFonts w:ascii="宋体" w:hAnsi="宋体"/>
      <w:kern w:val="0"/>
      <w:sz w:val="24"/>
    </w:rPr>
  </w:style>
  <w:style w:type="paragraph" w:customStyle="1" w:styleId="195">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9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197">
    <w:name w:val="样式 标题 2 + Times New Roman 四号 非加粗 段前: 5 磅 段后: 0 磅 行距: 固定值 20..."/>
    <w:basedOn w:val="6"/>
    <w:qFormat/>
    <w:uiPriority w:val="0"/>
    <w:pPr>
      <w:spacing w:before="100" w:line="400" w:lineRule="exact"/>
    </w:pPr>
    <w:rPr>
      <w:rFonts w:ascii="Times New Roman" w:hAnsi="Times New Roman" w:cs="宋体"/>
      <w:b w:val="0"/>
      <w:bCs w:val="0"/>
      <w:szCs w:val="20"/>
    </w:rPr>
  </w:style>
  <w:style w:type="paragraph" w:styleId="198">
    <w:name w:val="List Paragraph"/>
    <w:basedOn w:val="1"/>
    <w:qFormat/>
    <w:uiPriority w:val="34"/>
    <w:pPr>
      <w:ind w:firstLine="420" w:firstLineChars="200"/>
    </w:pPr>
    <w:rPr>
      <w:rFonts w:ascii="Calibri" w:hAnsi="Calibri"/>
    </w:rPr>
  </w:style>
  <w:style w:type="paragraph" w:customStyle="1" w:styleId="199">
    <w:name w:val="文"/>
    <w:basedOn w:val="1"/>
    <w:qFormat/>
    <w:uiPriority w:val="0"/>
    <w:pPr>
      <w:tabs>
        <w:tab w:val="left" w:pos="1134"/>
      </w:tabs>
      <w:spacing w:before="20" w:after="40" w:line="300" w:lineRule="auto"/>
      <w:ind w:left="1134" w:firstLine="420"/>
    </w:pPr>
    <w:rPr>
      <w:rFonts w:ascii="Arial" w:hAnsi="Arial"/>
      <w:szCs w:val="20"/>
    </w:rPr>
  </w:style>
  <w:style w:type="paragraph" w:customStyle="1" w:styleId="200">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01">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02">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203">
    <w:name w:val="Normal_1"/>
    <w:qFormat/>
    <w:uiPriority w:val="0"/>
    <w:pPr>
      <w:spacing w:line="384" w:lineRule="auto"/>
    </w:pPr>
    <w:rPr>
      <w:rFonts w:ascii="宋体" w:hAnsi="宋体" w:eastAsia="宋体" w:cs="Times New Roman"/>
      <w:sz w:val="24"/>
      <w:szCs w:val="24"/>
      <w:lang w:val="en-US" w:eastAsia="zh-CN" w:bidi="ar-SA"/>
    </w:rPr>
  </w:style>
  <w:style w:type="paragraph" w:customStyle="1" w:styleId="204">
    <w:name w:val="普通(网站)_0"/>
    <w:basedOn w:val="75"/>
    <w:qFormat/>
    <w:uiPriority w:val="99"/>
    <w:pPr>
      <w:widowControl/>
      <w:spacing w:before="100" w:beforeAutospacing="1" w:after="100" w:afterAutospacing="1"/>
      <w:jc w:val="left"/>
    </w:pPr>
    <w:rPr>
      <w:rFonts w:hint="eastAsia" w:ascii="宋体" w:hAnsi="宋体"/>
      <w:kern w:val="0"/>
      <w:sz w:val="24"/>
      <w:szCs w:val="22"/>
    </w:rPr>
  </w:style>
  <w:style w:type="paragraph" w:customStyle="1" w:styleId="205">
    <w:name w:val="正文_0_1"/>
    <w:qFormat/>
    <w:uiPriority w:val="0"/>
    <w:pPr>
      <w:widowControl w:val="0"/>
      <w:jc w:val="both"/>
    </w:pPr>
    <w:rPr>
      <w:rFonts w:ascii="Times New Roman" w:hAnsi="Times New Roman" w:eastAsia="宋体" w:cs="Times New Roman"/>
      <w:kern w:val="2"/>
      <w:sz w:val="28"/>
      <w:szCs w:val="22"/>
      <w:lang w:val="en-US" w:eastAsia="zh-CN" w:bidi="ar-SA"/>
    </w:rPr>
  </w:style>
  <w:style w:type="paragraph" w:customStyle="1" w:styleId="206">
    <w:name w:val="表格文字"/>
    <w:basedOn w:val="1"/>
    <w:qFormat/>
    <w:uiPriority w:val="0"/>
    <w:pPr>
      <w:adjustRightInd w:val="0"/>
      <w:spacing w:line="420" w:lineRule="atLeast"/>
      <w:jc w:val="left"/>
      <w:textAlignment w:val="baseline"/>
    </w:pPr>
    <w:rPr>
      <w:kern w:val="0"/>
      <w:szCs w:val="20"/>
    </w:rPr>
  </w:style>
  <w:style w:type="paragraph" w:customStyle="1" w:styleId="207">
    <w:name w:val="空半行"/>
    <w:basedOn w:val="1"/>
    <w:semiHidden/>
    <w:qFormat/>
    <w:uiPriority w:val="0"/>
    <w:pPr>
      <w:adjustRightInd w:val="0"/>
      <w:spacing w:line="120" w:lineRule="exact"/>
    </w:pPr>
    <w:rPr>
      <w:rFonts w:eastAsia="仿宋_GB2312"/>
      <w:color w:val="FFFFFF"/>
      <w:kern w:val="0"/>
      <w:sz w:val="30"/>
      <w:szCs w:val="20"/>
    </w:rPr>
  </w:style>
  <w:style w:type="paragraph" w:customStyle="1" w:styleId="20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9">
    <w:name w:val="CM48"/>
    <w:basedOn w:val="208"/>
    <w:next w:val="208"/>
    <w:qFormat/>
    <w:uiPriority w:val="0"/>
    <w:pPr>
      <w:spacing w:line="453" w:lineRule="atLeast"/>
    </w:pPr>
    <w:rPr>
      <w:rFonts w:ascii="仿宋_GB2312" w:eastAsia="仿宋_GB2312" w:cs="Times New Roman"/>
      <w:color w:val="auto"/>
    </w:rPr>
  </w:style>
  <w:style w:type="paragraph" w:customStyle="1" w:styleId="210">
    <w:name w:val="xl34"/>
    <w:basedOn w:val="1"/>
    <w:qFormat/>
    <w:uiPriority w:val="0"/>
    <w:pPr>
      <w:widowControl/>
      <w:spacing w:before="100" w:beforeAutospacing="1" w:after="100" w:afterAutospacing="1"/>
      <w:jc w:val="left"/>
    </w:pPr>
    <w:rPr>
      <w:rFonts w:ascii="宋体" w:hAnsi="宋体"/>
      <w:b/>
      <w:bCs/>
      <w:kern w:val="0"/>
      <w:sz w:val="24"/>
    </w:rPr>
  </w:style>
  <w:style w:type="paragraph" w:customStyle="1" w:styleId="211">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212">
    <w:name w:val="font8"/>
    <w:basedOn w:val="1"/>
    <w:qFormat/>
    <w:uiPriority w:val="0"/>
    <w:pPr>
      <w:widowControl/>
      <w:spacing w:before="100" w:beforeAutospacing="1" w:after="100" w:afterAutospacing="1"/>
      <w:jc w:val="left"/>
    </w:pPr>
    <w:rPr>
      <w:kern w:val="0"/>
      <w:sz w:val="20"/>
      <w:szCs w:val="20"/>
    </w:rPr>
  </w:style>
  <w:style w:type="paragraph" w:customStyle="1" w:styleId="21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14">
    <w:name w:val="xl50"/>
    <w:basedOn w:val="1"/>
    <w:qFormat/>
    <w:uiPriority w:val="0"/>
    <w:pPr>
      <w:widowControl/>
      <w:spacing w:before="100" w:beforeAutospacing="1" w:after="100" w:afterAutospacing="1"/>
      <w:jc w:val="center"/>
    </w:pPr>
    <w:rPr>
      <w:rFonts w:ascii="宋体" w:hAnsi="宋体"/>
      <w:kern w:val="0"/>
      <w:sz w:val="20"/>
      <w:szCs w:val="20"/>
    </w:rPr>
  </w:style>
  <w:style w:type="paragraph" w:customStyle="1" w:styleId="215">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216">
    <w:name w:val="z-窗体底端1"/>
    <w:basedOn w:val="1"/>
    <w:next w:val="1"/>
    <w:qFormat/>
    <w:uiPriority w:val="0"/>
    <w:pPr>
      <w:pBdr>
        <w:top w:val="single" w:color="auto" w:sz="6" w:space="1"/>
      </w:pBdr>
      <w:jc w:val="center"/>
    </w:pPr>
    <w:rPr>
      <w:rFonts w:ascii="Arial"/>
      <w:vanish/>
      <w:sz w:val="16"/>
    </w:rPr>
  </w:style>
  <w:style w:type="paragraph" w:customStyle="1" w:styleId="217">
    <w:name w:val="正文_2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18">
    <w:name w:val="CM65"/>
    <w:basedOn w:val="208"/>
    <w:next w:val="208"/>
    <w:qFormat/>
    <w:uiPriority w:val="0"/>
    <w:pPr>
      <w:spacing w:after="228"/>
    </w:pPr>
    <w:rPr>
      <w:rFonts w:ascii="仿宋_GB2312" w:eastAsia="仿宋_GB2312" w:cs="Times New Roman"/>
      <w:color w:val="auto"/>
    </w:rPr>
  </w:style>
  <w:style w:type="paragraph" w:customStyle="1" w:styleId="219">
    <w:name w:val="WPSOffice手动目录 1"/>
    <w:qFormat/>
    <w:uiPriority w:val="0"/>
    <w:rPr>
      <w:rFonts w:ascii="Times New Roman" w:hAnsi="Times New Roman" w:eastAsia="宋体" w:cs="Times New Roman"/>
      <w:lang w:val="en-US" w:eastAsia="zh-CN" w:bidi="ar-SA"/>
    </w:rPr>
  </w:style>
  <w:style w:type="paragraph" w:customStyle="1" w:styleId="220">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rPr>
  </w:style>
  <w:style w:type="paragraph" w:customStyle="1" w:styleId="221">
    <w:name w:val="样式 标题 1 + 黑体 三号 非加粗 居中 段前: 6 磅 段后: 6 磅 行距: 固定值 20 磅"/>
    <w:basedOn w:val="5"/>
    <w:qFormat/>
    <w:uiPriority w:val="0"/>
    <w:pPr>
      <w:spacing w:before="120" w:line="400" w:lineRule="exact"/>
    </w:pPr>
    <w:rPr>
      <w:rFonts w:ascii="黑体" w:hAnsi="黑体" w:eastAsia="黑体" w:cs="宋体"/>
      <w:b w:val="0"/>
      <w:bCs/>
      <w:sz w:val="32"/>
      <w:szCs w:val="20"/>
    </w:rPr>
  </w:style>
  <w:style w:type="paragraph" w:customStyle="1" w:styleId="222">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23">
    <w:name w:val="TOC 标题1"/>
    <w:basedOn w:val="5"/>
    <w:next w:val="1"/>
    <w:qFormat/>
    <w:uiPriority w:val="39"/>
    <w:pPr>
      <w:widowControl/>
      <w:overflowPunct/>
      <w:adjustRightInd/>
      <w:snapToGrid/>
      <w:spacing w:before="480" w:after="0" w:line="276" w:lineRule="auto"/>
      <w:jc w:val="left"/>
      <w:outlineLvl w:val="9"/>
    </w:pPr>
    <w:rPr>
      <w:rFonts w:ascii="Cambria" w:hAnsi="Cambria"/>
      <w:bCs/>
      <w:color w:val="365F91"/>
      <w:sz w:val="28"/>
      <w:szCs w:val="28"/>
    </w:rPr>
  </w:style>
  <w:style w:type="paragraph" w:customStyle="1" w:styleId="224">
    <w:name w:val="Normal_0_0"/>
    <w:qFormat/>
    <w:uiPriority w:val="0"/>
    <w:pPr>
      <w:widowControl w:val="0"/>
      <w:jc w:val="both"/>
    </w:pPr>
    <w:rPr>
      <w:rFonts w:ascii="Times New Roman" w:hAnsi="Times New Roman" w:eastAsia="Times New Roman" w:cs="Times New Roman"/>
      <w:sz w:val="21"/>
      <w:szCs w:val="22"/>
      <w:lang w:val="en-US" w:eastAsia="zh-CN" w:bidi="ar-SA"/>
    </w:rPr>
  </w:style>
  <w:style w:type="paragraph" w:customStyle="1" w:styleId="225">
    <w:name w:val="标题 4_1_0"/>
    <w:basedOn w:val="117"/>
    <w:next w:val="117"/>
    <w:qFormat/>
    <w:uiPriority w:val="9"/>
    <w:pPr>
      <w:keepNext/>
      <w:keepLines/>
      <w:spacing w:before="280" w:after="290" w:line="376" w:lineRule="auto"/>
      <w:outlineLvl w:val="3"/>
    </w:pPr>
    <w:rPr>
      <w:rFonts w:ascii="Arial" w:hAnsi="Arial" w:eastAsia="黑体"/>
      <w:b/>
      <w:bCs/>
      <w:kern w:val="2"/>
      <w:sz w:val="28"/>
      <w:szCs w:val="28"/>
    </w:rPr>
  </w:style>
  <w:style w:type="paragraph" w:customStyle="1" w:styleId="226">
    <w:name w:val="正文缩进_0"/>
    <w:basedOn w:val="124"/>
    <w:link w:val="251"/>
    <w:unhideWhenUsed/>
    <w:qFormat/>
    <w:uiPriority w:val="0"/>
    <w:pPr>
      <w:ind w:firstLine="420" w:firstLineChars="200"/>
    </w:pPr>
  </w:style>
  <w:style w:type="paragraph" w:customStyle="1" w:styleId="227">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styleId="228">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29">
    <w:name w:val="CM69"/>
    <w:basedOn w:val="208"/>
    <w:next w:val="208"/>
    <w:qFormat/>
    <w:uiPriority w:val="0"/>
    <w:pPr>
      <w:spacing w:after="953"/>
    </w:pPr>
    <w:rPr>
      <w:rFonts w:ascii="仿宋_GB2312" w:eastAsia="仿宋_GB2312" w:cs="Times New Roman"/>
      <w:color w:val="auto"/>
    </w:rPr>
  </w:style>
  <w:style w:type="paragraph" w:customStyle="1" w:styleId="230">
    <w:name w:val="CM57"/>
    <w:basedOn w:val="208"/>
    <w:next w:val="208"/>
    <w:qFormat/>
    <w:uiPriority w:val="0"/>
    <w:pPr>
      <w:spacing w:after="590"/>
    </w:pPr>
    <w:rPr>
      <w:rFonts w:ascii="仿宋_GB2312" w:eastAsia="仿宋_GB2312" w:cs="Times New Roman"/>
      <w:color w:val="auto"/>
    </w:rPr>
  </w:style>
  <w:style w:type="paragraph" w:customStyle="1" w:styleId="231">
    <w:name w:val="font7"/>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232">
    <w:name w:val="Char1"/>
    <w:basedOn w:val="43"/>
    <w:qFormat/>
    <w:uiPriority w:val="0"/>
    <w:pPr>
      <w:spacing w:after="0" w:line="360" w:lineRule="auto"/>
      <w:ind w:firstLine="200" w:firstLineChars="200"/>
    </w:pPr>
    <w:rPr>
      <w:rFonts w:ascii="Tahoma" w:hAnsi="Tahoma"/>
      <w:sz w:val="36"/>
      <w:szCs w:val="36"/>
    </w:rPr>
  </w:style>
  <w:style w:type="paragraph" w:customStyle="1" w:styleId="233">
    <w:name w:val="Char11"/>
    <w:basedOn w:val="43"/>
    <w:qFormat/>
    <w:uiPriority w:val="0"/>
    <w:pPr>
      <w:spacing w:after="0" w:line="360" w:lineRule="auto"/>
      <w:ind w:firstLine="200" w:firstLineChars="200"/>
    </w:pPr>
    <w:rPr>
      <w:rFonts w:ascii="Tahoma" w:hAnsi="Tahoma"/>
      <w:sz w:val="36"/>
      <w:szCs w:val="36"/>
    </w:rPr>
  </w:style>
  <w:style w:type="paragraph" w:customStyle="1" w:styleId="234">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235">
    <w:name w:val="正文_22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36">
    <w:name w:val="CM36"/>
    <w:basedOn w:val="208"/>
    <w:next w:val="208"/>
    <w:qFormat/>
    <w:uiPriority w:val="0"/>
    <w:pPr>
      <w:spacing w:line="473" w:lineRule="atLeast"/>
    </w:pPr>
    <w:rPr>
      <w:rFonts w:ascii="仿宋_GB2312" w:eastAsia="仿宋_GB2312" w:cs="Times New Roman"/>
      <w:color w:val="auto"/>
    </w:rPr>
  </w:style>
  <w:style w:type="paragraph" w:customStyle="1" w:styleId="237">
    <w:name w:val="样式 标题 3 + (中文) 黑体 小四 非加粗 段前: 7.8 磅 段后: 0 磅 行距: 固定值 20 磅"/>
    <w:basedOn w:val="7"/>
    <w:qFormat/>
    <w:uiPriority w:val="0"/>
    <w:pPr>
      <w:spacing w:after="0" w:line="400" w:lineRule="exact"/>
    </w:pPr>
    <w:rPr>
      <w:rFonts w:eastAsia="黑体" w:cs="宋体"/>
      <w:b w:val="0"/>
      <w:bCs w:val="0"/>
      <w:szCs w:val="20"/>
    </w:rPr>
  </w:style>
  <w:style w:type="paragraph" w:customStyle="1" w:styleId="238">
    <w:name w:val="Char"/>
    <w:basedOn w:val="1"/>
    <w:qFormat/>
    <w:uiPriority w:val="0"/>
  </w:style>
  <w:style w:type="paragraph" w:customStyle="1" w:styleId="239">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40">
    <w:name w:val="表标题"/>
    <w:basedOn w:val="1"/>
    <w:qFormat/>
    <w:uiPriority w:val="0"/>
    <w:pPr>
      <w:spacing w:line="305" w:lineRule="auto"/>
      <w:ind w:firstLine="50" w:firstLineChars="50"/>
    </w:pPr>
    <w:rPr>
      <w:rFonts w:ascii="黑体" w:hAnsi="宋体" w:eastAsia="黑体"/>
      <w:kern w:val="44"/>
      <w:sz w:val="24"/>
    </w:rPr>
  </w:style>
  <w:style w:type="paragraph" w:customStyle="1" w:styleId="241">
    <w:name w:val="正文_22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243">
    <w:name w:val="Normal_19_1"/>
    <w:qFormat/>
    <w:uiPriority w:val="0"/>
    <w:pPr>
      <w:spacing w:line="384" w:lineRule="auto"/>
    </w:pPr>
    <w:rPr>
      <w:rFonts w:ascii="宋体" w:hAnsi="宋体" w:eastAsia="宋体" w:cs="Times New Roman"/>
      <w:sz w:val="24"/>
      <w:szCs w:val="24"/>
      <w:lang w:val="en-US" w:eastAsia="zh-CN" w:bidi="ar-SA"/>
    </w:rPr>
  </w:style>
  <w:style w:type="paragraph" w:customStyle="1" w:styleId="244">
    <w:name w:val="正文_2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5">
    <w:name w:val="Normal_0"/>
    <w:qFormat/>
    <w:uiPriority w:val="0"/>
    <w:pPr>
      <w:widowControl w:val="0"/>
      <w:jc w:val="both"/>
    </w:pPr>
    <w:rPr>
      <w:rFonts w:ascii="Times New Roman" w:hAnsi="Times New Roman" w:eastAsia="Times New Roman" w:cs="Times New Roman"/>
      <w:sz w:val="21"/>
      <w:szCs w:val="22"/>
      <w:lang w:val="en-US" w:eastAsia="zh-CN" w:bidi="ar-SA"/>
    </w:rPr>
  </w:style>
  <w:style w:type="paragraph" w:customStyle="1" w:styleId="246">
    <w:name w:val="_Style 105"/>
    <w:next w:val="1"/>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247">
    <w:name w:val="z-窗体顶端1"/>
    <w:basedOn w:val="1"/>
    <w:next w:val="1"/>
    <w:qFormat/>
    <w:uiPriority w:val="0"/>
    <w:pPr>
      <w:pBdr>
        <w:bottom w:val="single" w:color="auto" w:sz="6" w:space="1"/>
      </w:pBdr>
      <w:jc w:val="center"/>
    </w:pPr>
    <w:rPr>
      <w:rFonts w:ascii="Arial"/>
      <w:vanish/>
      <w:sz w:val="16"/>
    </w:rPr>
  </w:style>
  <w:style w:type="paragraph" w:customStyle="1" w:styleId="248">
    <w:name w:val="正文_24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49">
    <w:name w:val="标题 2 Char_4"/>
    <w:link w:val="250"/>
    <w:qFormat/>
    <w:uiPriority w:val="0"/>
    <w:rPr>
      <w:rFonts w:ascii="Calibri" w:hAnsi="Calibri"/>
      <w:b/>
      <w:bCs/>
      <w:sz w:val="28"/>
      <w:szCs w:val="28"/>
    </w:rPr>
  </w:style>
  <w:style w:type="paragraph" w:customStyle="1" w:styleId="250">
    <w:name w:val="标题 2_4"/>
    <w:basedOn w:val="139"/>
    <w:next w:val="139"/>
    <w:link w:val="249"/>
    <w:qFormat/>
    <w:uiPriority w:val="0"/>
    <w:pPr>
      <w:widowControl/>
      <w:spacing w:line="600" w:lineRule="exact"/>
      <w:contextualSpacing/>
      <w:jc w:val="center"/>
      <w:outlineLvl w:val="1"/>
    </w:pPr>
    <w:rPr>
      <w:rFonts w:ascii="Calibri" w:hAnsi="Calibri"/>
      <w:b/>
      <w:bCs/>
      <w:kern w:val="0"/>
      <w:sz w:val="28"/>
      <w:szCs w:val="28"/>
    </w:rPr>
  </w:style>
  <w:style w:type="character" w:customStyle="1" w:styleId="251">
    <w:name w:val="正文缩进 Char1_0"/>
    <w:link w:val="226"/>
    <w:qFormat/>
    <w:locked/>
    <w:uiPriority w:val="0"/>
    <w:rPr>
      <w:kern w:val="2"/>
      <w:sz w:val="21"/>
      <w:szCs w:val="21"/>
    </w:rPr>
  </w:style>
  <w:style w:type="character" w:customStyle="1" w:styleId="252">
    <w:name w:val="纯文本 Char_0"/>
    <w:link w:val="253"/>
    <w:qFormat/>
    <w:uiPriority w:val="0"/>
    <w:rPr>
      <w:rFonts w:ascii="宋体" w:hAnsi="Courier New"/>
      <w:kern w:val="2"/>
      <w:sz w:val="21"/>
      <w:szCs w:val="21"/>
    </w:rPr>
  </w:style>
  <w:style w:type="paragraph" w:customStyle="1" w:styleId="253">
    <w:name w:val="纯文本_0"/>
    <w:basedOn w:val="192"/>
    <w:link w:val="252"/>
    <w:unhideWhenUsed/>
    <w:qFormat/>
    <w:uiPriority w:val="0"/>
    <w:rPr>
      <w:rFonts w:ascii="宋体" w:hAnsi="Courier New"/>
      <w:szCs w:val="21"/>
    </w:rPr>
  </w:style>
  <w:style w:type="paragraph" w:customStyle="1" w:styleId="254">
    <w:name w:val="Normal_1_0_0"/>
    <w:qFormat/>
    <w:uiPriority w:val="0"/>
    <w:pPr>
      <w:spacing w:line="384" w:lineRule="auto"/>
    </w:pPr>
    <w:rPr>
      <w:rFonts w:ascii="宋体" w:hAnsi="宋体" w:eastAsia="宋体" w:cs="Times New Roman"/>
      <w:sz w:val="24"/>
      <w:szCs w:val="24"/>
      <w:lang w:val="en-US" w:eastAsia="zh-CN" w:bidi="ar-SA"/>
    </w:rPr>
  </w:style>
  <w:style w:type="paragraph" w:customStyle="1" w:styleId="255">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56">
    <w:name w:val="nth-child(3)"/>
    <w:basedOn w:val="46"/>
    <w:qFormat/>
    <w:uiPriority w:val="0"/>
  </w:style>
  <w:style w:type="character" w:customStyle="1" w:styleId="257">
    <w:name w:val="nth-child(2)"/>
    <w:basedOn w:val="46"/>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274C05-E219-4702-AFAD-28565069D4B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54</Pages>
  <Words>23697</Words>
  <Characters>6330</Characters>
  <Lines>52</Lines>
  <Paragraphs>59</Paragraphs>
  <TotalTime>39</TotalTime>
  <ScaleCrop>false</ScaleCrop>
  <LinksUpToDate>false</LinksUpToDate>
  <CharactersWithSpaces>29968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2020-05-20T01:08:00Z</dcterms:created>
  <dc:creator>微软用户</dc:creator>
  <cp:lastModifiedBy>P!nk</cp:lastModifiedBy>
  <cp:lastPrinted>2020-06-29T01:14:00Z</cp:lastPrinted>
  <dcterms:modified xsi:type="dcterms:W3CDTF">2021-09-30T08:08:15Z</dcterms:modified>
  <dc:title>住房和城乡建设部关于印发《房屋建筑和市政工程标准施工招标资格预审文件》和《房屋建筑和市政工程标准施工招标文件》的通知</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864E9A367B0D45FCAE8CD68E9887ACD7</vt:lpwstr>
  </property>
</Properties>
</file>