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r>
        <w:rPr>
          <w:rFonts w:hint="eastAsia" w:asciiTheme="majorEastAsia" w:hAnsiTheme="majorEastAsia" w:eastAsiaTheme="majorEastAsia" w:cstheme="majorEastAsia"/>
          <w:b/>
          <w:sz w:val="40"/>
          <w:szCs w:val="40"/>
        </w:rPr>
        <w:t>宜昌交运集团客运有限公司客运一分公司</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r>
        <w:rPr>
          <w:rFonts w:hint="eastAsia" w:asciiTheme="majorEastAsia" w:hAnsiTheme="majorEastAsia" w:eastAsiaTheme="majorEastAsia" w:cstheme="majorEastAsia"/>
          <w:b/>
          <w:sz w:val="40"/>
          <w:szCs w:val="40"/>
          <w:lang w:val="zh-CN"/>
        </w:rPr>
        <w:t>客车修理厂客车轮胎采购</w:t>
      </w:r>
    </w:p>
    <w:p>
      <w:pPr>
        <w:pStyle w:val="2"/>
        <w:rPr>
          <w:rFonts w:hint="eastAsia" w:asciiTheme="majorEastAsia" w:hAnsiTheme="majorEastAsia" w:eastAsiaTheme="majorEastAsia" w:cstheme="majorEastAsia"/>
        </w:rPr>
      </w:pP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rPr>
      </w:pPr>
    </w:p>
    <w:p>
      <w:pPr>
        <w:jc w:val="center"/>
        <w:rPr>
          <w:rFonts w:hint="eastAsia" w:asciiTheme="majorEastAsia" w:hAnsiTheme="majorEastAsia" w:eastAsiaTheme="majorEastAsia" w:cstheme="majorEastAsia"/>
          <w:b/>
          <w:sz w:val="96"/>
          <w:szCs w:val="84"/>
        </w:rPr>
      </w:pPr>
      <w:r>
        <w:rPr>
          <w:rFonts w:hint="eastAsia" w:asciiTheme="majorEastAsia" w:hAnsiTheme="majorEastAsia" w:eastAsiaTheme="majorEastAsia" w:cstheme="majorEastAsia"/>
          <w:b/>
          <w:sz w:val="96"/>
          <w:szCs w:val="84"/>
        </w:rPr>
        <w:t>招 标 文 件</w:t>
      </w:r>
    </w:p>
    <w:p>
      <w:pPr>
        <w:jc w:val="center"/>
        <w:rPr>
          <w:rFonts w:hint="eastAsia" w:asciiTheme="majorEastAsia" w:hAnsiTheme="majorEastAsia" w:eastAsiaTheme="majorEastAsia" w:cstheme="majorEastAsia"/>
          <w:szCs w:val="21"/>
        </w:rPr>
      </w:pPr>
    </w:p>
    <w:p>
      <w:pPr>
        <w:ind w:firstLine="1920" w:firstLineChars="600"/>
        <w:rPr>
          <w:rFonts w:hint="default" w:asciiTheme="majorEastAsia" w:hAnsiTheme="majorEastAsia" w:eastAsiaTheme="majorEastAsia" w:cstheme="majorEastAsia"/>
          <w:bCs/>
          <w:sz w:val="32"/>
          <w:szCs w:val="32"/>
          <w:lang w:val="en-US"/>
        </w:rPr>
      </w:pPr>
      <w:r>
        <w:rPr>
          <w:rFonts w:hint="eastAsia" w:asciiTheme="majorEastAsia" w:hAnsiTheme="majorEastAsia" w:eastAsiaTheme="majorEastAsia" w:cstheme="majorEastAsia"/>
          <w:bCs/>
          <w:sz w:val="32"/>
          <w:szCs w:val="32"/>
        </w:rPr>
        <w:t>项目编号：HBXYZB（</w:t>
      </w:r>
      <w:r>
        <w:rPr>
          <w:rFonts w:hint="eastAsia" w:asciiTheme="majorEastAsia" w:hAnsiTheme="majorEastAsia" w:eastAsiaTheme="majorEastAsia" w:cstheme="majorEastAsia"/>
          <w:bCs/>
          <w:sz w:val="32"/>
          <w:szCs w:val="32"/>
          <w:lang w:eastAsia="zh-CN"/>
        </w:rPr>
        <w:t>2021</w:t>
      </w:r>
      <w:r>
        <w:rPr>
          <w:rFonts w:hint="eastAsia" w:asciiTheme="majorEastAsia" w:hAnsiTheme="majorEastAsia" w:eastAsiaTheme="majorEastAsia" w:cstheme="majorEastAsia"/>
          <w:bCs/>
          <w:sz w:val="32"/>
          <w:szCs w:val="32"/>
        </w:rPr>
        <w:t>）</w:t>
      </w:r>
      <w:r>
        <w:rPr>
          <w:rFonts w:hint="eastAsia" w:asciiTheme="majorEastAsia" w:hAnsiTheme="majorEastAsia" w:eastAsiaTheme="majorEastAsia" w:cstheme="majorEastAsia"/>
          <w:bCs/>
          <w:sz w:val="32"/>
          <w:szCs w:val="32"/>
          <w:lang w:val="en-US" w:eastAsia="zh-CN"/>
        </w:rPr>
        <w:t>199</w:t>
      </w: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30"/>
          <w:szCs w:val="30"/>
        </w:rPr>
      </w:pPr>
    </w:p>
    <w:p>
      <w:pPr>
        <w:autoSpaceDE w:val="0"/>
        <w:autoSpaceDN w:val="0"/>
        <w:adjustRightInd w:val="0"/>
        <w:spacing w:line="200" w:lineRule="exact"/>
        <w:jc w:val="left"/>
        <w:rPr>
          <w:rFonts w:hint="eastAsia" w:asciiTheme="majorEastAsia" w:hAnsiTheme="majorEastAsia" w:eastAsiaTheme="majorEastAsia" w:cstheme="majorEastAsia"/>
          <w:kern w:val="0"/>
          <w:sz w:val="30"/>
          <w:szCs w:val="30"/>
        </w:rPr>
      </w:pPr>
    </w:p>
    <w:p>
      <w:pPr>
        <w:spacing w:line="700" w:lineRule="exact"/>
        <w:ind w:firstLine="281" w:firstLineChars="100"/>
        <w:outlineLvl w:val="0"/>
        <w:rPr>
          <w:rFonts w:hint="eastAsia" w:asciiTheme="majorEastAsia" w:hAnsiTheme="majorEastAsia" w:eastAsiaTheme="majorEastAsia" w:cstheme="majorEastAsia"/>
          <w:b/>
          <w:bCs/>
          <w:sz w:val="28"/>
          <w:szCs w:val="28"/>
        </w:rPr>
      </w:pPr>
      <w:bookmarkStart w:id="0" w:name="_Toc39149178"/>
      <w:bookmarkStart w:id="1" w:name="_Toc16631"/>
      <w:bookmarkStart w:id="2" w:name="_Toc18603030"/>
      <w:r>
        <w:rPr>
          <w:rFonts w:hint="eastAsia" w:asciiTheme="majorEastAsia" w:hAnsiTheme="majorEastAsia" w:eastAsiaTheme="majorEastAsia" w:cstheme="majorEastAsia"/>
          <w:b/>
          <w:bCs/>
          <w:sz w:val="28"/>
          <w:szCs w:val="28"/>
        </w:rPr>
        <w:t>招标人：</w:t>
      </w:r>
      <w:r>
        <w:rPr>
          <w:rFonts w:hint="eastAsia" w:asciiTheme="majorEastAsia" w:hAnsiTheme="majorEastAsia" w:eastAsiaTheme="majorEastAsia" w:cstheme="majorEastAsia"/>
          <w:b/>
          <w:bCs/>
          <w:sz w:val="28"/>
          <w:szCs w:val="28"/>
          <w:u w:val="single"/>
        </w:rPr>
        <w:t>宜昌交运集团客运有限公司客运一分公司</w:t>
      </w:r>
      <w:r>
        <w:rPr>
          <w:rFonts w:hint="eastAsia" w:asciiTheme="majorEastAsia" w:hAnsiTheme="majorEastAsia" w:eastAsiaTheme="majorEastAsia" w:cstheme="majorEastAsia"/>
          <w:b/>
          <w:bCs/>
          <w:sz w:val="28"/>
          <w:szCs w:val="28"/>
        </w:rPr>
        <w:t>（盖章）</w:t>
      </w:r>
      <w:bookmarkEnd w:id="0"/>
      <w:bookmarkEnd w:id="1"/>
      <w:bookmarkEnd w:id="2"/>
    </w:p>
    <w:p>
      <w:pPr>
        <w:pStyle w:val="23"/>
        <w:spacing w:line="700" w:lineRule="exact"/>
        <w:ind w:firstLine="281" w:firstLineChars="1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法定代表人或其委托代理人：</w:t>
      </w:r>
      <w:r>
        <w:rPr>
          <w:rFonts w:hint="eastAsia" w:asciiTheme="majorEastAsia" w:hAnsiTheme="majorEastAsia" w:eastAsiaTheme="majorEastAsia" w:cstheme="majorEastAsia"/>
          <w:b/>
          <w:bCs/>
          <w:sz w:val="28"/>
          <w:szCs w:val="28"/>
          <w:u w:val="single"/>
        </w:rPr>
        <w:t xml:space="preserve">            </w:t>
      </w:r>
      <w:r>
        <w:rPr>
          <w:rFonts w:hint="eastAsia" w:asciiTheme="majorEastAsia" w:hAnsiTheme="majorEastAsia" w:eastAsiaTheme="majorEastAsia" w:cstheme="majorEastAsia"/>
          <w:b/>
          <w:bCs/>
          <w:sz w:val="28"/>
          <w:szCs w:val="28"/>
        </w:rPr>
        <w:t>（签字或盖章）</w:t>
      </w:r>
    </w:p>
    <w:p>
      <w:pPr>
        <w:pStyle w:val="23"/>
        <w:spacing w:line="700" w:lineRule="exact"/>
        <w:ind w:firstLine="281" w:firstLineChars="1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招标代理机构：</w:t>
      </w:r>
      <w:r>
        <w:rPr>
          <w:rFonts w:hint="eastAsia" w:asciiTheme="majorEastAsia" w:hAnsiTheme="majorEastAsia" w:eastAsiaTheme="majorEastAsia" w:cstheme="majorEastAsia"/>
          <w:b/>
          <w:bCs/>
          <w:sz w:val="28"/>
          <w:szCs w:val="28"/>
          <w:u w:val="single"/>
        </w:rPr>
        <w:t xml:space="preserve">湖北兴焱工程咨询有限公司      </w:t>
      </w:r>
      <w:r>
        <w:rPr>
          <w:rFonts w:hint="eastAsia" w:asciiTheme="majorEastAsia" w:hAnsiTheme="majorEastAsia" w:eastAsiaTheme="majorEastAsia" w:cstheme="majorEastAsia"/>
          <w:b/>
          <w:sz w:val="28"/>
          <w:szCs w:val="28"/>
        </w:rPr>
        <w:t>（盖章）</w:t>
      </w:r>
    </w:p>
    <w:p>
      <w:pPr>
        <w:pStyle w:val="23"/>
        <w:spacing w:line="700" w:lineRule="exact"/>
        <w:ind w:firstLine="281" w:firstLineChars="1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法定代表人或其委托代理人：</w:t>
      </w:r>
      <w:r>
        <w:rPr>
          <w:rFonts w:hint="eastAsia" w:asciiTheme="majorEastAsia" w:hAnsiTheme="majorEastAsia" w:eastAsiaTheme="majorEastAsia" w:cstheme="majorEastAsia"/>
          <w:b/>
          <w:sz w:val="28"/>
          <w:szCs w:val="28"/>
          <w:u w:val="single"/>
        </w:rPr>
        <w:t xml:space="preserve">            </w:t>
      </w:r>
      <w:r>
        <w:rPr>
          <w:rFonts w:hint="eastAsia" w:asciiTheme="majorEastAsia" w:hAnsiTheme="majorEastAsia" w:eastAsiaTheme="majorEastAsia" w:cstheme="majorEastAsia"/>
          <w:b/>
          <w:sz w:val="28"/>
          <w:szCs w:val="28"/>
        </w:rPr>
        <w:t>（签字或盖章）</w:t>
      </w:r>
    </w:p>
    <w:p>
      <w:pPr>
        <w:spacing w:line="700" w:lineRule="exact"/>
        <w:jc w:val="center"/>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二○二</w:t>
      </w:r>
      <w:r>
        <w:rPr>
          <w:rFonts w:hint="eastAsia" w:asciiTheme="majorEastAsia" w:hAnsiTheme="majorEastAsia" w:eastAsiaTheme="majorEastAsia" w:cstheme="majorEastAsia"/>
          <w:b/>
          <w:sz w:val="28"/>
          <w:szCs w:val="28"/>
          <w:lang w:eastAsia="zh-CN"/>
        </w:rPr>
        <w:t>一</w:t>
      </w:r>
      <w:r>
        <w:rPr>
          <w:rFonts w:hint="eastAsia" w:asciiTheme="majorEastAsia" w:hAnsiTheme="majorEastAsia" w:eastAsiaTheme="majorEastAsia" w:cstheme="majorEastAsia"/>
          <w:b/>
          <w:sz w:val="28"/>
          <w:szCs w:val="28"/>
        </w:rPr>
        <w:t>年</w:t>
      </w:r>
      <w:r>
        <w:rPr>
          <w:rFonts w:hint="eastAsia" w:asciiTheme="majorEastAsia" w:hAnsiTheme="majorEastAsia" w:eastAsiaTheme="majorEastAsia" w:cstheme="majorEastAsia"/>
          <w:b/>
          <w:sz w:val="28"/>
          <w:szCs w:val="28"/>
          <w:lang w:val="en-US" w:eastAsia="zh-CN"/>
        </w:rPr>
        <w:t>十</w:t>
      </w:r>
      <w:r>
        <w:rPr>
          <w:rFonts w:hint="eastAsia" w:asciiTheme="majorEastAsia" w:hAnsiTheme="majorEastAsia" w:eastAsiaTheme="majorEastAsia" w:cstheme="majorEastAsia"/>
          <w:b/>
          <w:sz w:val="28"/>
          <w:szCs w:val="28"/>
        </w:rPr>
        <w:t>月</w:t>
      </w:r>
    </w:p>
    <w:p>
      <w:pPr>
        <w:spacing w:line="480" w:lineRule="auto"/>
        <w:jc w:val="center"/>
        <w:rPr>
          <w:rFonts w:hint="eastAsia" w:asciiTheme="majorEastAsia" w:hAnsiTheme="majorEastAsia" w:eastAsiaTheme="majorEastAsia" w:cstheme="majorEastAsia"/>
          <w:sz w:val="28"/>
          <w:szCs w:val="28"/>
        </w:rPr>
        <w:sectPr>
          <w:headerReference r:id="rId3" w:type="default"/>
          <w:pgSz w:w="11906" w:h="16838"/>
          <w:pgMar w:top="1440" w:right="1800" w:bottom="1440" w:left="1800" w:header="851" w:footer="992" w:gutter="0"/>
          <w:pgNumType w:fmt="upperRoman" w:start="1"/>
          <w:cols w:space="720" w:num="1"/>
          <w:docGrid w:type="lines" w:linePitch="312" w:charSpace="0"/>
        </w:sectPr>
      </w:pPr>
    </w:p>
    <w:p>
      <w:pPr>
        <w:pStyle w:val="253"/>
        <w:spacing w:line="280" w:lineRule="exact"/>
        <w:jc w:val="center"/>
        <w:rPr>
          <w:rFonts w:hint="eastAsia" w:asciiTheme="majorEastAsia" w:hAnsiTheme="majorEastAsia" w:eastAsiaTheme="majorEastAsia" w:cstheme="majorEastAsia"/>
          <w:color w:val="auto"/>
        </w:rPr>
      </w:pPr>
      <w:bookmarkStart w:id="3" w:name="_Toc522293502"/>
      <w:bookmarkStart w:id="4" w:name="_Toc20741"/>
      <w:r>
        <w:rPr>
          <w:rFonts w:hint="eastAsia" w:asciiTheme="majorEastAsia" w:hAnsiTheme="majorEastAsia" w:eastAsiaTheme="majorEastAsia" w:cstheme="majorEastAsia"/>
          <w:color w:val="auto"/>
          <w:lang w:val="zh-CN"/>
        </w:rPr>
        <w:t>目    录</w:t>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TOC \o "1-3" \h \z \u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_Toc16631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lang w:eastAsia="zh-CN"/>
        </w:rPr>
        <w:t>第一章</w:t>
      </w:r>
      <w:r>
        <w:rPr>
          <w:rFonts w:hint="eastAsia" w:asciiTheme="majorEastAsia" w:hAnsiTheme="majorEastAsia" w:eastAsiaTheme="majorEastAsia" w:cstheme="majorEastAsia"/>
          <w:lang w:val="en-US" w:eastAsia="zh-CN"/>
        </w:rPr>
        <w:t xml:space="preserve">  招标公告</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lang w:val="en-US" w:eastAsia="zh-CN"/>
        </w:rPr>
        <w:t>5</w:t>
      </w:r>
      <w:r>
        <w:rPr>
          <w:rFonts w:hint="eastAsia" w:asciiTheme="majorEastAsia" w:hAnsiTheme="majorEastAsia" w:eastAsiaTheme="majorEastAsia" w:cstheme="majorEastAsia"/>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_Toc1446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第二章  投标人须知</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_Toc1446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_Toc5554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投标人须知前附表</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_Toc5554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_Toc12408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投标人须知正文部分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_Toc12408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_Toc4056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1. 总则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_Toc4056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_Toc29004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1.1 项目概况</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_Toc29004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_Toc25123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bCs w:val="0"/>
        </w:rPr>
        <w:t>1.1.5 本标段服务地点：见投标人须知前附表。</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_Toc25123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_Toc21557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1.2 资金来源和落实情况</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_Toc21557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_Toc25516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1.3供货范围、供货时间、资格审查方式和招标方式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_Toc25516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_Toc10735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1.4 投标人资格要求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_Toc10735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_Toc18465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1.5 费用承担</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_Toc18465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_Toc28106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1.6 保密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_Toc28106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_Toc17026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1.7 语言文字</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_Toc17026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_Toc24560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1.8 计量单位</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_Toc24560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_Toc11990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1.9 踏勘现场</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_Toc11990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_Toc7879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1.10 投标预备会</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_Toc7879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_Toc633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1.11 分包</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_Toc633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_Toc8322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1.12 偏离</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_Toc8322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_Toc32758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2. 招标文件</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_Toc32758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_Toc13856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2.1 招标文件的组成</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_Toc13856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_Toc21123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2.2 招标文件的澄清和修改</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_Toc21123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_Toc19297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2.3 对招标文件的异议</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_Toc19297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_Toc5793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3. 投标文件</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_Toc5793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_Toc29571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3.1 投标文件的组成</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_Toc29571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_Toc16489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3.2 投标报价</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_Toc16489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_Toc4290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3.3 投标有效期</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_Toc4290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_Toc5515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3.5 资格审查资料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_Toc5515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_Toc5353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3.6 备选投标方案</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_Toc5353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_Toc2949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3.7 投标文件的编制</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_Toc2949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_Toc26714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4. 投标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_Toc26714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_Toc25196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4.1 投标文件的密封和标识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_Toc25196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_Toc30714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4.2 投标文件的递交</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_Toc30714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_Toc19378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4.3 投标文件的修改与撤回</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_Toc19378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_Toc29775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5.1 开标时间和地点</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_Toc29775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_Toc11352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5.2 开标程序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_Toc11352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_Toc22287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5.3 开标异议</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_Toc22287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_Toc25891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6. 评标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_Toc25891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_Toc15401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6.1 评标委员会</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_Toc15401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_Toc28548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6.2 评标原则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_Toc28548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_Toc14238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6.3 评标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_Toc14238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_Toc22142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7. 合同授予</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_Toc22142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_Toc31558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7.2履约能力的审查（如有）</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_Toc31558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_Toc5091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7.3 履约保证金</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_Toc5091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_Toc21407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bCs w:val="0"/>
          <w:kern w:val="0"/>
        </w:rPr>
        <w:t>本项目无履约保证金。</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_Toc21407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_Toc23655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7.4 签订合同</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_Toc23655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_Toc31756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8. 重新招标、不再招标和终止招标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_Toc31756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_Toc31062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8.1 重新招标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_Toc31062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_Toc3643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8.2 不再招标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_Toc3643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_Toc1267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8.3 终止招标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_Toc1267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_Toc11655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9. 纪律和监督</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_Toc11655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_Toc18116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9.1 对招标人的纪律要求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_Toc18116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_Toc22158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9.2 对投标人的纪律要求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_Toc22158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_Toc5983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9.3 对评标委员会成员的纪律要求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_Toc5983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_Toc15443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9.4 对与评标活动有关的工作人员的纪律要求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_Toc15443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_Toc12141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9.5 投诉</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_Toc12141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_Toc10155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10. 需要补充的其他内容</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_Toc10155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_Toc9218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10.1 多标段投标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_Toc9218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_Toc12989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10.2 知识产权</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_Toc12989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_Toc8827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10.3解释权</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_Toc8827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_Toc18912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10.4 招标人补充的其他内容</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_Toc18912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_Toc20608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附表一：招标结果通知书</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_Toc20608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_Toc25637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附表二：异议函</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_Toc25637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_Toc6362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附表三：异议答复函</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_Toc6362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_Toc14652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第三章  评标办法（综合评估法）</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_Toc14652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_Toc13377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评标办法前附表</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_Toc13377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_Toc10151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 评标方法</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_Toc10151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_Toc30026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 评审标准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_Toc30026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_Toc21839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2.1 初步评审标准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_Toc21839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_Toc22817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2.2 详细评审标准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_Toc22817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_Toc9722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 评标程序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_Toc9722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_Toc10931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3.1 评标准备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_Toc10931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_Toc15921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3.2 初步评审</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_Toc15921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_Toc13417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3.3 详细评审</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_Toc13417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_Toc16023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3.4 投标文件的澄清和补正</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_Toc16023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_Toc7352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3.5 评标结果</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_Toc7352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_Toc710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 特殊情况的处置程序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_Toc710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_Toc11263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4.1 关于评标活动暂停</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_Toc11263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_Toc18462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4.2 关于评标中途更换评标委员会成员</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_Toc18462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_Toc28302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4.3 评标争议处理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_Toc28302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_Toc1087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5. 补充条款</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_Toc1087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_Toc31705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第四章  合同条款及格式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_Toc31705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_Toc12278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第五章  商务及技术要求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_Toc12278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_Toc13327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第六章  相关技术资料（如有）</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_Toc13327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_Toc13028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第七章  投标文件格式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_Toc13028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_Toc4023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目    录</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_Toc4023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_Toc15668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bCs w:val="0"/>
          <w:szCs w:val="24"/>
        </w:rPr>
        <w:t>（一）投标函</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_Toc15668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_Toc14602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（五）投标人情况介绍</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_Toc14602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_Toc2065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（六）类似供货业绩</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_Toc2065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_Toc9490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（七）资格审查资料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_Toc9490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_Toc31423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kern w:val="1"/>
        </w:rPr>
        <w:t>（九）反商业贿赂承诺书</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_Toc31423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_Toc21214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（十）投标人认为需要提供的其他资料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_Toc21214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_Toc24959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二、技术文件</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_Toc24959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spacing w:line="400" w:lineRule="exac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end"/>
      </w:r>
      <w:r>
        <w:rPr>
          <w:rFonts w:hint="eastAsia" w:asciiTheme="majorEastAsia" w:hAnsiTheme="majorEastAsia" w:eastAsiaTheme="majorEastAsia" w:cstheme="majorEastAsia"/>
          <w:b/>
          <w:bCs/>
          <w:lang w:val="zh-CN"/>
        </w:rPr>
        <w:br w:type="page"/>
      </w:r>
      <w:bookmarkEnd w:id="3"/>
      <w:bookmarkEnd w:id="4"/>
      <w:bookmarkStart w:id="5" w:name="_Toc522293503"/>
      <w:bookmarkStart w:id="6" w:name="_Toc30109"/>
      <w:bookmarkStart w:id="7" w:name="_Toc522293505"/>
      <w:r>
        <w:rPr>
          <w:rStyle w:val="60"/>
          <w:rFonts w:hint="eastAsia" w:asciiTheme="majorEastAsia" w:hAnsiTheme="majorEastAsia" w:eastAsiaTheme="majorEastAsia" w:cstheme="majorEastAsia"/>
        </w:rPr>
        <w:t>第一章  招标公告</w:t>
      </w:r>
    </w:p>
    <w:p>
      <w:pPr>
        <w:widowControl/>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1、招标条件</w:t>
      </w:r>
    </w:p>
    <w:p>
      <w:pPr>
        <w:pStyle w:val="212"/>
        <w:shd w:val="clear" w:color="auto" w:fill="FFFFFF"/>
        <w:spacing w:line="460" w:lineRule="exact"/>
        <w:ind w:firstLine="48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lang w:val="zh-CN"/>
        </w:rPr>
        <w:t>湖北兴焱工程咨询有限公司受宜昌交运集团客运有限公司客运一分公司的委托</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zh-CN"/>
        </w:rPr>
        <w:t>拟就</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zh-CN"/>
        </w:rPr>
        <w:t>客车修理厂客车轮胎采购</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zh-CN"/>
        </w:rPr>
        <w:t>进行公开招标</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zh-CN"/>
        </w:rPr>
        <w:t>欢迎符合条件的投标人前来投标。</w:t>
      </w:r>
    </w:p>
    <w:p>
      <w:pPr>
        <w:pStyle w:val="212"/>
        <w:shd w:val="clear" w:color="auto" w:fill="FFFFFF"/>
        <w:spacing w:line="460" w:lineRule="exact"/>
        <w:ind w:firstLine="482" w:firstLineChars="200"/>
        <w:rPr>
          <w:rFonts w:hint="eastAsia" w:asciiTheme="majorEastAsia" w:hAnsiTheme="majorEastAsia" w:eastAsiaTheme="majorEastAsia" w:cstheme="majorEastAsia"/>
          <w:b/>
          <w:bCs/>
        </w:rPr>
      </w:pPr>
      <w:r>
        <w:rPr>
          <w:rFonts w:hint="eastAsia" w:asciiTheme="majorEastAsia" w:hAnsiTheme="majorEastAsia" w:eastAsiaTheme="majorEastAsia" w:cstheme="majorEastAsia"/>
          <w:b/>
          <w:bCs/>
        </w:rPr>
        <w:t>2</w:t>
      </w:r>
      <w:r>
        <w:rPr>
          <w:rFonts w:hint="eastAsia" w:asciiTheme="majorEastAsia" w:hAnsiTheme="majorEastAsia" w:eastAsiaTheme="majorEastAsia" w:cstheme="majorEastAsia"/>
          <w:b/>
          <w:bCs/>
          <w:lang w:val="zh-CN"/>
        </w:rPr>
        <w:t>、项目概况与供货范围</w:t>
      </w:r>
    </w:p>
    <w:p>
      <w:pPr>
        <w:pStyle w:val="212"/>
        <w:shd w:val="clear" w:color="auto" w:fill="FFFFFF"/>
        <w:spacing w:line="460" w:lineRule="exact"/>
        <w:ind w:firstLine="480" w:firstLineChars="200"/>
        <w:rPr>
          <w:rFonts w:hint="eastAsia" w:asciiTheme="majorEastAsia" w:hAnsiTheme="majorEastAsia" w:eastAsiaTheme="majorEastAsia" w:cstheme="majorEastAsia"/>
          <w:bCs/>
          <w:lang w:val="zh-CN"/>
        </w:rPr>
      </w:pPr>
      <w:r>
        <w:rPr>
          <w:rFonts w:hint="eastAsia" w:asciiTheme="majorEastAsia" w:hAnsiTheme="majorEastAsia" w:eastAsiaTheme="majorEastAsia" w:cstheme="majorEastAsia"/>
          <w:bCs/>
          <w:lang w:val="en-US" w:eastAsia="zh-CN"/>
        </w:rPr>
        <w:t>2.1</w:t>
      </w:r>
      <w:r>
        <w:rPr>
          <w:rFonts w:hint="eastAsia" w:asciiTheme="majorEastAsia" w:hAnsiTheme="majorEastAsia" w:eastAsiaTheme="majorEastAsia" w:cstheme="majorEastAsia"/>
          <w:bCs/>
          <w:lang w:val="zh-CN"/>
        </w:rPr>
        <w:t>项目名称</w:t>
      </w:r>
      <w:r>
        <w:rPr>
          <w:rFonts w:hint="eastAsia" w:asciiTheme="majorEastAsia" w:hAnsiTheme="majorEastAsia" w:eastAsiaTheme="majorEastAsia" w:cstheme="majorEastAsia"/>
          <w:bCs/>
        </w:rPr>
        <w:t>：宜昌交运集团客运有限公司客运一分公司客车修理厂客车轮胎采购</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2.2</w:t>
      </w:r>
      <w:r>
        <w:rPr>
          <w:rFonts w:hint="eastAsia" w:asciiTheme="majorEastAsia" w:hAnsiTheme="majorEastAsia" w:eastAsiaTheme="majorEastAsia" w:cstheme="majorEastAsia"/>
          <w:lang w:val="zh-CN"/>
        </w:rPr>
        <w:t>采购预算价（最高限价）：采购预算人民币</w:t>
      </w:r>
      <w:r>
        <w:rPr>
          <w:rFonts w:hint="eastAsia" w:asciiTheme="majorEastAsia" w:hAnsiTheme="majorEastAsia" w:eastAsiaTheme="majorEastAsia" w:cstheme="majorEastAsia"/>
          <w:lang w:val="en-US" w:eastAsia="zh-CN"/>
        </w:rPr>
        <w:t>122.6</w:t>
      </w:r>
      <w:r>
        <w:rPr>
          <w:rFonts w:hint="eastAsia" w:asciiTheme="majorEastAsia" w:hAnsiTheme="majorEastAsia" w:eastAsiaTheme="majorEastAsia" w:cstheme="majorEastAsia"/>
          <w:lang w:val="zh-CN"/>
        </w:rPr>
        <w:t>万元。</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2.3</w:t>
      </w:r>
      <w:r>
        <w:rPr>
          <w:rFonts w:hint="eastAsia" w:asciiTheme="majorEastAsia" w:hAnsiTheme="majorEastAsia" w:eastAsiaTheme="majorEastAsia" w:cstheme="majorEastAsia"/>
          <w:lang w:val="zh-CN"/>
        </w:rPr>
        <w:t>采购范围：客车修理厂现承修公营客车</w:t>
      </w:r>
      <w:r>
        <w:rPr>
          <w:rFonts w:hint="eastAsia" w:asciiTheme="majorEastAsia" w:hAnsiTheme="majorEastAsia" w:eastAsiaTheme="majorEastAsia" w:cstheme="majorEastAsia"/>
          <w:lang w:val="en-US" w:eastAsia="zh-CN"/>
        </w:rPr>
        <w:t>389台</w:t>
      </w:r>
      <w:r>
        <w:rPr>
          <w:rFonts w:hint="eastAsia" w:asciiTheme="majorEastAsia" w:hAnsiTheme="majorEastAsia" w:eastAsiaTheme="majorEastAsia" w:cstheme="majorEastAsia"/>
          <w:lang w:val="zh-CN"/>
        </w:rPr>
        <w:t>，涉及</w:t>
      </w:r>
      <w:r>
        <w:rPr>
          <w:rFonts w:hint="eastAsia" w:asciiTheme="majorEastAsia" w:hAnsiTheme="majorEastAsia" w:eastAsiaTheme="majorEastAsia" w:cstheme="majorEastAsia"/>
          <w:lang w:val="en-US" w:eastAsia="zh-CN"/>
        </w:rPr>
        <w:t>5个车辆品牌的20余个车型，预计年度客车轮胎采购量约800</w:t>
      </w:r>
      <w:r>
        <w:rPr>
          <w:rFonts w:hint="eastAsia" w:asciiTheme="majorEastAsia" w:hAnsiTheme="majorEastAsia" w:eastAsiaTheme="majorEastAsia" w:cstheme="majorEastAsia"/>
          <w:lang w:val="zh-CN"/>
        </w:rPr>
        <w:t>条，具体规格型号及技术要求详见第五章商务及技术要求。</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2.4</w:t>
      </w:r>
      <w:r>
        <w:rPr>
          <w:rFonts w:hint="eastAsia" w:asciiTheme="majorEastAsia" w:hAnsiTheme="majorEastAsia" w:eastAsiaTheme="majorEastAsia" w:cstheme="majorEastAsia"/>
          <w:lang w:val="zh-CN"/>
        </w:rPr>
        <w:t>供货时间：合同签订后7天之内，按招标人要求分批次供货。</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2.5</w:t>
      </w:r>
      <w:r>
        <w:rPr>
          <w:rFonts w:hint="eastAsia" w:asciiTheme="majorEastAsia" w:hAnsiTheme="majorEastAsia" w:eastAsiaTheme="majorEastAsia" w:cstheme="majorEastAsia"/>
          <w:lang w:val="zh-CN"/>
        </w:rPr>
        <w:t>供货地点：招标人指定地点。</w:t>
      </w:r>
    </w:p>
    <w:p>
      <w:pPr>
        <w:pStyle w:val="212"/>
        <w:shd w:val="clear" w:color="auto" w:fill="FFFFFF"/>
        <w:spacing w:line="460" w:lineRule="exact"/>
        <w:ind w:firstLine="480" w:firstLineChars="20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2.6</w:t>
      </w:r>
      <w:r>
        <w:rPr>
          <w:rFonts w:hint="eastAsia" w:asciiTheme="majorEastAsia" w:hAnsiTheme="majorEastAsia" w:eastAsiaTheme="majorEastAsia" w:cstheme="majorEastAsia"/>
          <w:lang w:val="zh-CN"/>
        </w:rPr>
        <w:t>服务期：</w:t>
      </w:r>
      <w:r>
        <w:rPr>
          <w:rFonts w:hint="eastAsia" w:asciiTheme="majorEastAsia" w:hAnsiTheme="majorEastAsia" w:eastAsiaTheme="majorEastAsia" w:cstheme="majorEastAsia"/>
          <w:lang w:val="en-US" w:eastAsia="zh-CN"/>
        </w:rPr>
        <w:t>1年</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2.7</w:t>
      </w:r>
      <w:r>
        <w:rPr>
          <w:rFonts w:hint="eastAsia" w:asciiTheme="majorEastAsia" w:hAnsiTheme="majorEastAsia" w:eastAsiaTheme="majorEastAsia" w:cstheme="majorEastAsia"/>
          <w:lang w:val="zh-CN"/>
        </w:rPr>
        <w:t>质量要求：必须是全新合格的子午线轮胎。</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2.8</w:t>
      </w:r>
      <w:r>
        <w:rPr>
          <w:rFonts w:hint="eastAsia" w:asciiTheme="majorEastAsia" w:hAnsiTheme="majorEastAsia" w:eastAsiaTheme="majorEastAsia" w:cstheme="majorEastAsia"/>
          <w:lang w:val="zh-CN"/>
        </w:rPr>
        <w:t>质保期：一年（装车之日起，仅按时间计）。</w:t>
      </w:r>
    </w:p>
    <w:p>
      <w:pPr>
        <w:pStyle w:val="212"/>
        <w:shd w:val="clear" w:color="auto" w:fill="FFFFFF"/>
        <w:spacing w:line="460" w:lineRule="exact"/>
        <w:ind w:firstLine="482"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b/>
          <w:bCs/>
          <w:lang w:val="zh-CN"/>
        </w:rPr>
        <w:t>3、投标人资格要求</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本项目对投标人的资格审查采用资格后审方式，主要资格审查标准如下（详细内容和要求见招标文件）：</w:t>
      </w:r>
    </w:p>
    <w:p>
      <w:pPr>
        <w:spacing w:line="46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3.1</w:t>
      </w:r>
      <w:r>
        <w:rPr>
          <w:rFonts w:hint="eastAsia" w:asciiTheme="majorEastAsia" w:hAnsiTheme="majorEastAsia" w:eastAsiaTheme="majorEastAsia" w:cstheme="majorEastAsia"/>
          <w:sz w:val="24"/>
        </w:rPr>
        <w:t>投标人须具有有效的营业执照，且营业执照经营范围应包括轮胎销售，投标人不得以分公司名义进行投标，投标文件的单位盖章必须使用其法人公章，分公司盖章无效；（提供营业执照复印件加盖单位公章）</w:t>
      </w:r>
    </w:p>
    <w:p>
      <w:pPr>
        <w:spacing w:line="46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3.2</w:t>
      </w:r>
      <w:r>
        <w:rPr>
          <w:rFonts w:hint="eastAsia" w:asciiTheme="majorEastAsia" w:hAnsiTheme="majorEastAsia" w:eastAsiaTheme="majorEastAsia" w:cstheme="majorEastAsia"/>
          <w:sz w:val="24"/>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信用信息进行查询，做好记录，由评标委员会按招标文件的规定进行评审。）</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3.3</w:t>
      </w:r>
      <w:r>
        <w:rPr>
          <w:rFonts w:hint="eastAsia" w:asciiTheme="majorEastAsia" w:hAnsiTheme="majorEastAsia" w:eastAsiaTheme="majorEastAsia" w:cstheme="majorEastAsia"/>
          <w:lang w:val="zh-CN"/>
        </w:rPr>
        <w:t>单位负责人为同一人或者存在控股、管理关系的不同单位，不得同时参加同一标段投标或者未划分标段的同一招标项目投标；</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3.4</w:t>
      </w:r>
      <w:r>
        <w:rPr>
          <w:rFonts w:hint="eastAsia" w:asciiTheme="majorEastAsia" w:hAnsiTheme="majorEastAsia" w:eastAsiaTheme="majorEastAsia" w:cstheme="majorEastAsia"/>
          <w:lang w:val="zh-CN"/>
        </w:rPr>
        <w:t>与招标人存在利害关系可能影响招标公正性的法人、其他组织或者个人，不得参加投标；</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szCs w:val="21"/>
          <w:lang w:val="en-US" w:eastAsia="zh-CN"/>
        </w:rPr>
        <w:t>3.5</w:t>
      </w:r>
      <w:r>
        <w:rPr>
          <w:rFonts w:hint="eastAsia" w:asciiTheme="majorEastAsia" w:hAnsiTheme="majorEastAsia" w:eastAsiaTheme="majorEastAsia" w:cstheme="majorEastAsia"/>
          <w:szCs w:val="21"/>
        </w:rPr>
        <w:t>本项目不接受联合体投标，投标人须以独立投标人身份参与本项目投标。</w:t>
      </w:r>
    </w:p>
    <w:p>
      <w:pPr>
        <w:pStyle w:val="212"/>
        <w:shd w:val="clear" w:color="auto" w:fill="FFFFFF"/>
        <w:spacing w:line="460" w:lineRule="exact"/>
        <w:ind w:firstLine="482" w:firstLineChars="200"/>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投标人在制作投标文件时，应对照上述资格审查要求，提供证明材料原件的复印件并加盖投标单位公章，否则评委将不予采信。</w:t>
      </w:r>
    </w:p>
    <w:p>
      <w:pPr>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4、招标文件的发放时间和获取方法：</w:t>
      </w:r>
    </w:p>
    <w:p>
      <w:pPr>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4.1招标文件下载时间为：2021年</w:t>
      </w:r>
      <w:r>
        <w:rPr>
          <w:rFonts w:hint="eastAsia" w:asciiTheme="majorEastAsia" w:hAnsiTheme="majorEastAsia" w:eastAsiaTheme="majorEastAsia" w:cstheme="majorEastAsia"/>
          <w:b w:val="0"/>
          <w:bCs/>
          <w:kern w:val="0"/>
          <w:sz w:val="24"/>
          <w:szCs w:val="24"/>
          <w:lang w:val="en-US" w:eastAsia="zh-CN"/>
        </w:rPr>
        <w:t>10</w:t>
      </w:r>
      <w:r>
        <w:rPr>
          <w:rFonts w:hint="eastAsia" w:asciiTheme="majorEastAsia" w:hAnsiTheme="majorEastAsia" w:eastAsiaTheme="majorEastAsia" w:cstheme="majorEastAsia"/>
          <w:b w:val="0"/>
          <w:bCs/>
          <w:kern w:val="0"/>
          <w:sz w:val="24"/>
          <w:szCs w:val="24"/>
        </w:rPr>
        <w:t>月</w:t>
      </w:r>
      <w:r>
        <w:rPr>
          <w:rFonts w:hint="eastAsia" w:asciiTheme="majorEastAsia" w:hAnsiTheme="majorEastAsia" w:eastAsiaTheme="majorEastAsia" w:cstheme="majorEastAsia"/>
          <w:b w:val="0"/>
          <w:bCs/>
          <w:kern w:val="0"/>
          <w:sz w:val="24"/>
          <w:szCs w:val="24"/>
          <w:lang w:val="en-US" w:eastAsia="zh-CN"/>
        </w:rPr>
        <w:t>28</w:t>
      </w:r>
      <w:r>
        <w:rPr>
          <w:rFonts w:hint="eastAsia" w:asciiTheme="majorEastAsia" w:hAnsiTheme="majorEastAsia" w:eastAsiaTheme="majorEastAsia" w:cstheme="majorEastAsia"/>
          <w:b w:val="0"/>
          <w:bCs/>
          <w:kern w:val="0"/>
          <w:sz w:val="24"/>
          <w:szCs w:val="24"/>
        </w:rPr>
        <w:t>日至2021年</w:t>
      </w:r>
      <w:r>
        <w:rPr>
          <w:rFonts w:hint="eastAsia" w:asciiTheme="majorEastAsia" w:hAnsiTheme="majorEastAsia" w:eastAsiaTheme="majorEastAsia" w:cstheme="majorEastAsia"/>
          <w:b w:val="0"/>
          <w:bCs/>
          <w:kern w:val="0"/>
          <w:sz w:val="24"/>
          <w:szCs w:val="24"/>
          <w:lang w:val="en-US" w:eastAsia="zh-CN"/>
        </w:rPr>
        <w:t>11</w:t>
      </w:r>
      <w:r>
        <w:rPr>
          <w:rFonts w:hint="eastAsia" w:asciiTheme="majorEastAsia" w:hAnsiTheme="majorEastAsia" w:eastAsiaTheme="majorEastAsia" w:cstheme="majorEastAsia"/>
          <w:b w:val="0"/>
          <w:bCs/>
          <w:kern w:val="0"/>
          <w:sz w:val="24"/>
          <w:szCs w:val="24"/>
        </w:rPr>
        <w:t>月</w:t>
      </w:r>
      <w:r>
        <w:rPr>
          <w:rFonts w:hint="eastAsia" w:asciiTheme="majorEastAsia" w:hAnsiTheme="majorEastAsia" w:eastAsiaTheme="majorEastAsia" w:cstheme="majorEastAsia"/>
          <w:b w:val="0"/>
          <w:bCs/>
          <w:kern w:val="0"/>
          <w:sz w:val="24"/>
          <w:szCs w:val="24"/>
          <w:lang w:val="en-US" w:eastAsia="zh-CN"/>
        </w:rPr>
        <w:t>18</w:t>
      </w:r>
      <w:r>
        <w:rPr>
          <w:rFonts w:hint="eastAsia" w:asciiTheme="majorEastAsia" w:hAnsiTheme="majorEastAsia" w:eastAsiaTheme="majorEastAsia" w:cstheme="majorEastAsia"/>
          <w:b w:val="0"/>
          <w:bCs/>
          <w:kern w:val="0"/>
          <w:sz w:val="24"/>
          <w:szCs w:val="24"/>
        </w:rPr>
        <w:t>日</w:t>
      </w:r>
      <w:r>
        <w:rPr>
          <w:rFonts w:hint="eastAsia" w:asciiTheme="majorEastAsia" w:hAnsiTheme="majorEastAsia" w:eastAsiaTheme="majorEastAsia" w:cstheme="majorEastAsia"/>
          <w:b w:val="0"/>
          <w:bCs/>
          <w:kern w:val="0"/>
          <w:sz w:val="24"/>
          <w:szCs w:val="24"/>
          <w:lang w:val="en-US" w:eastAsia="zh-CN"/>
        </w:rPr>
        <w:t>9</w:t>
      </w:r>
      <w:r>
        <w:rPr>
          <w:rFonts w:hint="eastAsia" w:asciiTheme="majorEastAsia" w:hAnsiTheme="majorEastAsia" w:eastAsiaTheme="majorEastAsia" w:cstheme="majorEastAsia"/>
          <w:b w:val="0"/>
          <w:bCs/>
          <w:kern w:val="0"/>
          <w:sz w:val="24"/>
          <w:szCs w:val="24"/>
        </w:rPr>
        <w:t>时</w:t>
      </w:r>
      <w:r>
        <w:rPr>
          <w:rFonts w:hint="eastAsia" w:asciiTheme="majorEastAsia" w:hAnsiTheme="majorEastAsia" w:eastAsiaTheme="majorEastAsia" w:cstheme="majorEastAsia"/>
          <w:b w:val="0"/>
          <w:bCs/>
          <w:kern w:val="0"/>
          <w:sz w:val="24"/>
          <w:szCs w:val="24"/>
          <w:lang w:val="en-US" w:eastAsia="zh-CN"/>
        </w:rPr>
        <w:t>30</w:t>
      </w:r>
      <w:r>
        <w:rPr>
          <w:rFonts w:hint="eastAsia" w:asciiTheme="majorEastAsia" w:hAnsiTheme="majorEastAsia" w:eastAsiaTheme="majorEastAsia" w:cstheme="majorEastAsia"/>
          <w:b w:val="0"/>
          <w:bCs/>
          <w:kern w:val="0"/>
          <w:sz w:val="24"/>
          <w:szCs w:val="24"/>
        </w:rPr>
        <w:t>分。</w:t>
      </w:r>
    </w:p>
    <w:p>
      <w:pPr>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4.2获取方法：本工程实行网上下载招标文件。投标人可在湖北三峡旅游集团股份有限公司官网（http://www.hbsxly.com/）下载招标文件或注册成为宜昌交通旅游产业发展集团有限公司招标采购平台（http://zbcg.ycjljt.com:81/）网员后，登录会员专区并按网上提示免费下载招标文件及相关资料。</w:t>
      </w:r>
    </w:p>
    <w:p>
      <w:pPr>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 xml:space="preserve">5、投标文件的递交 </w:t>
      </w:r>
    </w:p>
    <w:p>
      <w:pPr>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5.1投标截止时间：2021年</w:t>
      </w:r>
      <w:r>
        <w:rPr>
          <w:rFonts w:hint="eastAsia" w:asciiTheme="majorEastAsia" w:hAnsiTheme="majorEastAsia" w:eastAsiaTheme="majorEastAsia" w:cstheme="majorEastAsia"/>
          <w:b w:val="0"/>
          <w:bCs/>
          <w:kern w:val="0"/>
          <w:sz w:val="24"/>
          <w:szCs w:val="24"/>
          <w:lang w:val="en-US" w:eastAsia="zh-CN"/>
        </w:rPr>
        <w:t>11</w:t>
      </w:r>
      <w:r>
        <w:rPr>
          <w:rFonts w:hint="eastAsia" w:asciiTheme="majorEastAsia" w:hAnsiTheme="majorEastAsia" w:eastAsiaTheme="majorEastAsia" w:cstheme="majorEastAsia"/>
          <w:b w:val="0"/>
          <w:bCs/>
          <w:kern w:val="0"/>
          <w:sz w:val="24"/>
          <w:szCs w:val="24"/>
        </w:rPr>
        <w:t>月</w:t>
      </w:r>
      <w:r>
        <w:rPr>
          <w:rFonts w:hint="eastAsia" w:asciiTheme="majorEastAsia" w:hAnsiTheme="majorEastAsia" w:eastAsiaTheme="majorEastAsia" w:cstheme="majorEastAsia"/>
          <w:b w:val="0"/>
          <w:bCs/>
          <w:kern w:val="0"/>
          <w:sz w:val="24"/>
          <w:szCs w:val="24"/>
          <w:lang w:val="en-US" w:eastAsia="zh-CN"/>
        </w:rPr>
        <w:t>18</w:t>
      </w:r>
      <w:r>
        <w:rPr>
          <w:rFonts w:hint="eastAsia" w:asciiTheme="majorEastAsia" w:hAnsiTheme="majorEastAsia" w:eastAsiaTheme="majorEastAsia" w:cstheme="majorEastAsia"/>
          <w:b w:val="0"/>
          <w:bCs/>
          <w:kern w:val="0"/>
          <w:sz w:val="24"/>
          <w:szCs w:val="24"/>
        </w:rPr>
        <w:t>日9时30分</w:t>
      </w:r>
    </w:p>
    <w:p>
      <w:pPr>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5.2投标人应于当日投标截止时间之前将投标文件纸质版和电子版U盘递交至宜昌交通旅游产业发展集团有限公司开标室(伍家岗区沿江大道182号首信财富中心7楼开标室)，由招标人或代理机构接收，逾期送达的或者未送达指定地点的投标文件，招标人不予受理，投标截止时间与开标时间是否有变化，请关注本次招标过程中发布的变更公告或澄清修改文件中的相关信息。</w:t>
      </w:r>
    </w:p>
    <w:p>
      <w:pPr>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6、开标</w:t>
      </w:r>
    </w:p>
    <w:p>
      <w:pPr>
        <w:widowControl/>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本项目开标会将于投标截止的同一时间在宜昌交通旅游产业发展集团有限公司开标室(伍家岗区沿江大道182号首信财富中心7楼开标室)进行。投标人的法定代表人或委托代理人应携身份证明文件（法定代表人身份证明或法人授权委托书）和第二代有效身份证原件准时参加开标会，否则由评标委员会按招标文件规定处理。</w:t>
      </w:r>
    </w:p>
    <w:p>
      <w:pPr>
        <w:widowControl/>
        <w:spacing w:line="460" w:lineRule="exact"/>
        <w:ind w:firstLine="482"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b/>
          <w:kern w:val="0"/>
          <w:sz w:val="24"/>
          <w:szCs w:val="24"/>
        </w:rPr>
        <w:t>7、采购</w:t>
      </w:r>
      <w:r>
        <w:rPr>
          <w:rFonts w:hint="eastAsia" w:asciiTheme="majorEastAsia" w:hAnsiTheme="majorEastAsia" w:eastAsiaTheme="majorEastAsia" w:cstheme="majorEastAsia"/>
          <w:b/>
          <w:bCs/>
          <w:kern w:val="0"/>
          <w:sz w:val="24"/>
          <w:szCs w:val="24"/>
        </w:rPr>
        <w:t>合同须由中标人的法定代表人或委托代理人（必须有法定代表人授权委托书）洽谈并签署，否则视为放弃中标项目。</w:t>
      </w:r>
    </w:p>
    <w:p>
      <w:pPr>
        <w:widowControl/>
        <w:spacing w:line="460" w:lineRule="exact"/>
        <w:ind w:firstLine="482" w:firstLineChars="200"/>
        <w:jc w:val="left"/>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8、招标公告发布媒体：</w:t>
      </w:r>
      <w:r>
        <w:rPr>
          <w:rFonts w:hint="eastAsia" w:asciiTheme="majorEastAsia" w:hAnsiTheme="majorEastAsia" w:eastAsiaTheme="majorEastAsia" w:cstheme="majorEastAsia"/>
          <w:b w:val="0"/>
          <w:bCs/>
          <w:sz w:val="24"/>
          <w:szCs w:val="24"/>
        </w:rPr>
        <w:t>湖北三峡旅游集团股份有限公司官网（http://www.hbsxly.com/）、宜昌交通旅游产业发展集团有限公司招标采购平台（http://zbcg.ycjljt.com:81/）发布。</w:t>
      </w:r>
    </w:p>
    <w:p>
      <w:pPr>
        <w:widowControl/>
        <w:spacing w:line="460" w:lineRule="exact"/>
        <w:ind w:firstLine="482" w:firstLineChars="200"/>
        <w:jc w:val="left"/>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9、招标公告发布开始时间：</w:t>
      </w:r>
      <w:r>
        <w:rPr>
          <w:rFonts w:hint="eastAsia" w:asciiTheme="majorEastAsia" w:hAnsiTheme="majorEastAsia" w:eastAsiaTheme="majorEastAsia" w:cstheme="majorEastAsia"/>
          <w:bCs/>
          <w:sz w:val="24"/>
          <w:szCs w:val="24"/>
          <w:lang w:eastAsia="zh-CN"/>
        </w:rPr>
        <w:t>2021</w:t>
      </w:r>
      <w:r>
        <w:rPr>
          <w:rFonts w:hint="eastAsia" w:asciiTheme="majorEastAsia" w:hAnsiTheme="majorEastAsia" w:eastAsiaTheme="majorEastAsia" w:cstheme="majorEastAsia"/>
          <w:bCs/>
          <w:sz w:val="24"/>
          <w:szCs w:val="24"/>
        </w:rPr>
        <w:t>年</w:t>
      </w:r>
      <w:r>
        <w:rPr>
          <w:rFonts w:hint="eastAsia" w:asciiTheme="majorEastAsia" w:hAnsiTheme="majorEastAsia" w:eastAsiaTheme="majorEastAsia" w:cstheme="majorEastAsia"/>
          <w:bCs/>
          <w:sz w:val="24"/>
          <w:szCs w:val="24"/>
          <w:lang w:val="en-US" w:eastAsia="zh-CN"/>
        </w:rPr>
        <w:t>10</w:t>
      </w:r>
      <w:r>
        <w:rPr>
          <w:rFonts w:hint="eastAsia" w:asciiTheme="majorEastAsia" w:hAnsiTheme="majorEastAsia" w:eastAsiaTheme="majorEastAsia" w:cstheme="majorEastAsia"/>
          <w:bCs/>
          <w:sz w:val="24"/>
          <w:szCs w:val="24"/>
        </w:rPr>
        <w:t>月</w:t>
      </w:r>
      <w:r>
        <w:rPr>
          <w:rFonts w:hint="eastAsia" w:asciiTheme="majorEastAsia" w:hAnsiTheme="majorEastAsia" w:eastAsiaTheme="majorEastAsia" w:cstheme="majorEastAsia"/>
          <w:bCs/>
          <w:sz w:val="24"/>
          <w:szCs w:val="24"/>
          <w:lang w:eastAsia="zh-CN"/>
        </w:rPr>
        <w:t>2</w:t>
      </w:r>
      <w:r>
        <w:rPr>
          <w:rFonts w:hint="eastAsia" w:asciiTheme="majorEastAsia" w:hAnsiTheme="majorEastAsia" w:eastAsiaTheme="majorEastAsia" w:cstheme="majorEastAsia"/>
          <w:bCs/>
          <w:sz w:val="24"/>
          <w:szCs w:val="24"/>
          <w:lang w:val="en-US" w:eastAsia="zh-CN"/>
        </w:rPr>
        <w:t>8</w:t>
      </w:r>
      <w:r>
        <w:rPr>
          <w:rFonts w:hint="eastAsia" w:asciiTheme="majorEastAsia" w:hAnsiTheme="majorEastAsia" w:eastAsiaTheme="majorEastAsia" w:cstheme="majorEastAsia"/>
          <w:bCs/>
          <w:sz w:val="24"/>
          <w:szCs w:val="24"/>
        </w:rPr>
        <w:t>日。</w:t>
      </w:r>
    </w:p>
    <w:p>
      <w:pPr>
        <w:widowControl/>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10、联系方式：</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招 标 人：宜昌交运集团客运有限公司客运一分公司</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地    址：宜昌市伍家岗区花艳路3号（宜昌汽车客运中心站）</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联 系 人：杨丽君</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联系电话：13469876667</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招标代理机构：湖北兴焱工程咨询有限公司</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地    址：宜昌市中南路35号兴发广场</w:t>
      </w:r>
      <w:r>
        <w:rPr>
          <w:rFonts w:hint="eastAsia" w:asciiTheme="majorEastAsia" w:hAnsiTheme="majorEastAsia" w:eastAsiaTheme="majorEastAsia" w:cstheme="majorEastAsia"/>
          <w:kern w:val="0"/>
          <w:sz w:val="24"/>
          <w:szCs w:val="24"/>
          <w:lang w:val="en-US" w:eastAsia="zh-CN"/>
        </w:rPr>
        <w:t>A座写字楼</w:t>
      </w:r>
      <w:r>
        <w:rPr>
          <w:rFonts w:hint="eastAsia" w:asciiTheme="majorEastAsia" w:hAnsiTheme="majorEastAsia" w:eastAsiaTheme="majorEastAsia" w:cstheme="majorEastAsia"/>
          <w:kern w:val="0"/>
          <w:sz w:val="24"/>
          <w:szCs w:val="24"/>
        </w:rPr>
        <w:t>5楼</w:t>
      </w:r>
    </w:p>
    <w:p>
      <w:pPr>
        <w:widowControl/>
        <w:spacing w:line="460" w:lineRule="exact"/>
        <w:ind w:firstLine="480" w:firstLineChars="200"/>
        <w:jc w:val="left"/>
        <w:rPr>
          <w:rFonts w:hint="eastAsia" w:asciiTheme="majorEastAsia" w:hAnsiTheme="majorEastAsia" w:eastAsiaTheme="majorEastAsia" w:cstheme="majorEastAsia"/>
          <w:kern w:val="0"/>
          <w:sz w:val="24"/>
          <w:szCs w:val="24"/>
          <w:lang w:eastAsia="zh-CN"/>
        </w:rPr>
      </w:pPr>
      <w:r>
        <w:rPr>
          <w:rFonts w:hint="eastAsia" w:asciiTheme="majorEastAsia" w:hAnsiTheme="majorEastAsia" w:eastAsiaTheme="majorEastAsia" w:cstheme="majorEastAsia"/>
          <w:kern w:val="0"/>
          <w:sz w:val="24"/>
          <w:szCs w:val="24"/>
        </w:rPr>
        <w:t>联 系 人：</w:t>
      </w:r>
      <w:r>
        <w:rPr>
          <w:rFonts w:hint="eastAsia" w:asciiTheme="majorEastAsia" w:hAnsiTheme="majorEastAsia" w:eastAsiaTheme="majorEastAsia" w:cstheme="majorEastAsia"/>
          <w:kern w:val="0"/>
          <w:sz w:val="24"/>
          <w:szCs w:val="24"/>
          <w:lang w:eastAsia="zh-CN"/>
        </w:rPr>
        <w:t>康昌</w:t>
      </w:r>
    </w:p>
    <w:p>
      <w:pPr>
        <w:widowControl/>
        <w:spacing w:line="460" w:lineRule="exact"/>
        <w:ind w:firstLine="480" w:firstLineChars="200"/>
        <w:jc w:val="left"/>
        <w:rPr>
          <w:rFonts w:hint="eastAsia" w:asciiTheme="majorEastAsia" w:hAnsiTheme="majorEastAsia" w:eastAsiaTheme="majorEastAsia" w:cstheme="majorEastAsia"/>
          <w:kern w:val="0"/>
          <w:sz w:val="24"/>
          <w:szCs w:val="24"/>
          <w:lang w:val="en-US" w:eastAsia="zh-CN"/>
        </w:rPr>
      </w:pPr>
      <w:r>
        <w:rPr>
          <w:rFonts w:hint="eastAsia" w:asciiTheme="majorEastAsia" w:hAnsiTheme="majorEastAsia" w:eastAsiaTheme="majorEastAsia" w:cstheme="majorEastAsia"/>
          <w:kern w:val="0"/>
          <w:sz w:val="24"/>
          <w:szCs w:val="24"/>
        </w:rPr>
        <w:t>联系电话：0717-6485566-80</w:t>
      </w:r>
      <w:r>
        <w:rPr>
          <w:rFonts w:hint="eastAsia" w:asciiTheme="majorEastAsia" w:hAnsiTheme="majorEastAsia" w:eastAsiaTheme="majorEastAsia" w:cstheme="majorEastAsia"/>
          <w:kern w:val="0"/>
          <w:sz w:val="24"/>
          <w:szCs w:val="24"/>
          <w:lang w:val="en-US" w:eastAsia="zh-CN"/>
        </w:rPr>
        <w:t>35</w:t>
      </w:r>
    </w:p>
    <w:p>
      <w:pPr>
        <w:widowControl/>
        <w:spacing w:line="460" w:lineRule="exact"/>
        <w:ind w:firstLine="480" w:firstLineChars="200"/>
        <w:jc w:val="both"/>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eastAsia="zh-CN"/>
        </w:rPr>
        <w:t>时</w:t>
      </w:r>
      <w:r>
        <w:rPr>
          <w:rFonts w:hint="eastAsia" w:asciiTheme="majorEastAsia" w:hAnsiTheme="majorEastAsia" w:eastAsiaTheme="majorEastAsia" w:cstheme="majorEastAsia"/>
          <w:kern w:val="0"/>
          <w:sz w:val="24"/>
          <w:szCs w:val="24"/>
          <w:lang w:val="en-US" w:eastAsia="zh-CN"/>
        </w:rPr>
        <w:t xml:space="preserve">    </w:t>
      </w:r>
      <w:r>
        <w:rPr>
          <w:rFonts w:hint="eastAsia" w:asciiTheme="majorEastAsia" w:hAnsiTheme="majorEastAsia" w:eastAsiaTheme="majorEastAsia" w:cstheme="majorEastAsia"/>
          <w:kern w:val="0"/>
          <w:sz w:val="24"/>
          <w:szCs w:val="24"/>
          <w:lang w:eastAsia="zh-CN"/>
        </w:rPr>
        <w:t>间：2021</w:t>
      </w:r>
      <w:r>
        <w:rPr>
          <w:rFonts w:hint="eastAsia" w:asciiTheme="majorEastAsia" w:hAnsiTheme="majorEastAsia" w:eastAsiaTheme="majorEastAsia" w:cstheme="majorEastAsia"/>
          <w:kern w:val="0"/>
          <w:sz w:val="24"/>
          <w:szCs w:val="24"/>
        </w:rPr>
        <w:t>年</w:t>
      </w:r>
      <w:r>
        <w:rPr>
          <w:rFonts w:hint="eastAsia" w:asciiTheme="majorEastAsia" w:hAnsiTheme="majorEastAsia" w:eastAsiaTheme="majorEastAsia" w:cstheme="majorEastAsia"/>
          <w:kern w:val="0"/>
          <w:sz w:val="24"/>
          <w:szCs w:val="24"/>
          <w:lang w:eastAsia="zh-CN"/>
        </w:rPr>
        <w:t>10</w:t>
      </w:r>
      <w:r>
        <w:rPr>
          <w:rFonts w:hint="eastAsia" w:asciiTheme="majorEastAsia" w:hAnsiTheme="majorEastAsia" w:eastAsiaTheme="majorEastAsia" w:cstheme="majorEastAsia"/>
          <w:kern w:val="0"/>
          <w:sz w:val="24"/>
          <w:szCs w:val="24"/>
        </w:rPr>
        <w:t>月</w:t>
      </w:r>
      <w:r>
        <w:rPr>
          <w:rFonts w:hint="eastAsia" w:asciiTheme="majorEastAsia" w:hAnsiTheme="majorEastAsia" w:eastAsiaTheme="majorEastAsia" w:cstheme="majorEastAsia"/>
          <w:kern w:val="0"/>
          <w:sz w:val="24"/>
          <w:szCs w:val="24"/>
          <w:lang w:eastAsia="zh-CN"/>
        </w:rPr>
        <w:t>2</w:t>
      </w:r>
      <w:r>
        <w:rPr>
          <w:rFonts w:hint="eastAsia" w:asciiTheme="majorEastAsia" w:hAnsiTheme="majorEastAsia" w:eastAsiaTheme="majorEastAsia" w:cstheme="majorEastAsia"/>
          <w:kern w:val="0"/>
          <w:sz w:val="24"/>
          <w:szCs w:val="24"/>
          <w:lang w:val="en-US" w:eastAsia="zh-CN"/>
        </w:rPr>
        <w:t>8</w:t>
      </w:r>
      <w:r>
        <w:rPr>
          <w:rFonts w:hint="eastAsia" w:asciiTheme="majorEastAsia" w:hAnsiTheme="majorEastAsia" w:eastAsiaTheme="majorEastAsia" w:cstheme="majorEastAsia"/>
          <w:kern w:val="0"/>
          <w:sz w:val="24"/>
          <w:szCs w:val="24"/>
        </w:rPr>
        <w:t>日</w:t>
      </w:r>
    </w:p>
    <w:p>
      <w:pPr>
        <w:pStyle w:val="3"/>
        <w:pageBreakBefore/>
        <w:rPr>
          <w:rFonts w:hint="eastAsia" w:asciiTheme="majorEastAsia" w:hAnsiTheme="majorEastAsia" w:eastAsiaTheme="majorEastAsia" w:cstheme="majorEastAsia"/>
        </w:rPr>
      </w:pPr>
      <w:bookmarkStart w:id="8" w:name="_Toc1446"/>
      <w:bookmarkStart w:id="9" w:name="_Toc8140"/>
      <w:r>
        <w:rPr>
          <w:rFonts w:hint="eastAsia" w:asciiTheme="majorEastAsia" w:hAnsiTheme="majorEastAsia" w:eastAsiaTheme="majorEastAsia" w:cstheme="majorEastAsia"/>
        </w:rPr>
        <w:t>第二章  投标人须知</w:t>
      </w:r>
      <w:bookmarkEnd w:id="5"/>
      <w:bookmarkEnd w:id="8"/>
      <w:bookmarkEnd w:id="9"/>
    </w:p>
    <w:p>
      <w:pPr>
        <w:pStyle w:val="4"/>
        <w:rPr>
          <w:rFonts w:hint="eastAsia" w:asciiTheme="majorEastAsia" w:hAnsiTheme="majorEastAsia" w:eastAsiaTheme="majorEastAsia" w:cstheme="majorEastAsia"/>
        </w:rPr>
      </w:pPr>
      <w:bookmarkStart w:id="10" w:name="_Toc522293504"/>
      <w:bookmarkStart w:id="11" w:name="_Toc301"/>
      <w:bookmarkStart w:id="12" w:name="_Toc5554"/>
      <w:r>
        <w:rPr>
          <w:rFonts w:hint="eastAsia" w:asciiTheme="majorEastAsia" w:hAnsiTheme="majorEastAsia" w:eastAsiaTheme="majorEastAsia" w:cstheme="majorEastAsia"/>
        </w:rPr>
        <w:t>投标人须知前附表</w:t>
      </w:r>
      <w:bookmarkEnd w:id="10"/>
      <w:bookmarkEnd w:id="11"/>
      <w:bookmarkEnd w:id="12"/>
    </w:p>
    <w:tbl>
      <w:tblPr>
        <w:tblStyle w:val="42"/>
        <w:tblW w:w="90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980"/>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条款号</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条  款  名  称</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招标人</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名</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lang w:eastAsia="zh-CN"/>
              </w:rPr>
              <w:t>称</w:t>
            </w:r>
            <w:r>
              <w:rPr>
                <w:rFonts w:hint="eastAsia" w:asciiTheme="majorEastAsia" w:hAnsiTheme="majorEastAsia" w:eastAsiaTheme="majorEastAsia" w:cstheme="majorEastAsia"/>
                <w:sz w:val="24"/>
                <w:szCs w:val="24"/>
              </w:rPr>
              <w:t>：宜昌交运集团客运有限公司客运一分公司</w:t>
            </w:r>
          </w:p>
          <w:p>
            <w:pPr>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    址：宜昌市伍家岗区花艳路3号</w:t>
            </w:r>
          </w:p>
          <w:p>
            <w:pPr>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联 系 人：杨丽君</w:t>
            </w:r>
          </w:p>
          <w:p>
            <w:pPr>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联系电话：13469876667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招标代理机构</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名</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lang w:eastAsia="zh-CN"/>
              </w:rPr>
              <w:t>称</w:t>
            </w:r>
            <w:r>
              <w:rPr>
                <w:rFonts w:hint="eastAsia" w:asciiTheme="majorEastAsia" w:hAnsiTheme="majorEastAsia" w:eastAsiaTheme="majorEastAsia" w:cstheme="majorEastAsia"/>
                <w:sz w:val="24"/>
                <w:szCs w:val="24"/>
              </w:rPr>
              <w:t>：湖北兴焱工程咨询有限公司</w:t>
            </w:r>
          </w:p>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    址：</w:t>
            </w:r>
            <w:r>
              <w:rPr>
                <w:rFonts w:hint="eastAsia" w:asciiTheme="majorEastAsia" w:hAnsiTheme="majorEastAsia" w:eastAsiaTheme="majorEastAsia" w:cstheme="majorEastAsia"/>
                <w:kern w:val="0"/>
                <w:sz w:val="24"/>
                <w:szCs w:val="24"/>
              </w:rPr>
              <w:t>宜昌市中南路35号兴发广场</w:t>
            </w:r>
            <w:r>
              <w:rPr>
                <w:rFonts w:hint="eastAsia" w:asciiTheme="majorEastAsia" w:hAnsiTheme="majorEastAsia" w:eastAsiaTheme="majorEastAsia" w:cstheme="majorEastAsia"/>
                <w:kern w:val="0"/>
                <w:sz w:val="24"/>
                <w:szCs w:val="24"/>
                <w:lang w:val="en-US" w:eastAsia="zh-CN"/>
              </w:rPr>
              <w:t>A座写字楼</w:t>
            </w:r>
            <w:r>
              <w:rPr>
                <w:rFonts w:hint="eastAsia" w:asciiTheme="majorEastAsia" w:hAnsiTheme="majorEastAsia" w:eastAsiaTheme="majorEastAsia" w:cstheme="majorEastAsia"/>
                <w:kern w:val="0"/>
                <w:sz w:val="24"/>
                <w:szCs w:val="24"/>
              </w:rPr>
              <w:t>5楼</w:t>
            </w:r>
          </w:p>
          <w:p>
            <w:pPr>
              <w:spacing w:line="400" w:lineRule="exact"/>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联 系 人：</w:t>
            </w:r>
            <w:r>
              <w:rPr>
                <w:rFonts w:hint="eastAsia" w:asciiTheme="majorEastAsia" w:hAnsiTheme="majorEastAsia" w:eastAsiaTheme="majorEastAsia" w:cstheme="majorEastAsia"/>
                <w:sz w:val="24"/>
                <w:szCs w:val="24"/>
                <w:lang w:eastAsia="zh-CN"/>
              </w:rPr>
              <w:t>康昌</w:t>
            </w:r>
          </w:p>
          <w:p>
            <w:pPr>
              <w:spacing w:line="400" w:lineRule="exac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联系电话：0717-6485566-80</w:t>
            </w:r>
            <w:r>
              <w:rPr>
                <w:rFonts w:hint="eastAsia" w:asciiTheme="majorEastAsia" w:hAnsiTheme="majorEastAsia" w:eastAsiaTheme="majorEastAsia" w:cstheme="majorEastAsia"/>
                <w:sz w:val="24"/>
                <w:szCs w:val="24"/>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标段名称</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宜昌交运集团客运有限公司客运一分公司客车修理厂客车轮胎采购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供货地点</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3" w:name="EBde274196658e45c5b1cb9db216802bf9"/>
            <w:bookmarkEnd w:id="13"/>
            <w:r>
              <w:rPr>
                <w:rFonts w:hint="eastAsia" w:asciiTheme="majorEastAsia" w:hAnsiTheme="majorEastAsia" w:eastAsiaTheme="majorEastAsia" w:cstheme="majorEastAsia"/>
                <w:kern w:val="0"/>
                <w:sz w:val="24"/>
                <w:szCs w:val="24"/>
                <w:lang w:val="zh-CN"/>
              </w:rPr>
              <w:t>招标人指定地点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资金来源</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4" w:name="EB5d53793f3b064a5eb3ee160a5765765c"/>
            <w:bookmarkEnd w:id="14"/>
            <w:r>
              <w:rPr>
                <w:rFonts w:hint="eastAsia" w:asciiTheme="majorEastAsia" w:hAnsiTheme="majorEastAsia" w:eastAsiaTheme="majorEastAsia" w:cstheme="majorEastAsia"/>
                <w:sz w:val="24"/>
                <w:szCs w:val="24"/>
              </w:rPr>
              <w:t>国有投资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资金落实情况</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5" w:name="EBf953ec32c284435eaad730150a2f24b6"/>
            <w:bookmarkEnd w:id="15"/>
            <w:r>
              <w:rPr>
                <w:rFonts w:hint="eastAsia" w:asciiTheme="majorEastAsia" w:hAnsiTheme="majorEastAsia" w:eastAsiaTheme="majorEastAsia" w:cstheme="majorEastAsia"/>
                <w:sz w:val="24"/>
                <w:szCs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采购范围</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6" w:name="EB75c79fb771dc4e07a8a759d7551ff4a8"/>
            <w:bookmarkEnd w:id="16"/>
            <w:r>
              <w:rPr>
                <w:rFonts w:hint="eastAsia" w:asciiTheme="majorEastAsia" w:hAnsiTheme="majorEastAsia" w:eastAsiaTheme="majorEastAsia" w:cstheme="majorEastAsia"/>
                <w:sz w:val="24"/>
                <w:szCs w:val="24"/>
              </w:rPr>
              <w:t>客车修理厂现承修公营客车389台，涉及5个车辆品牌的20余个车型，预计年度客车轮胎采购量约800条，具体规格型号及技术要求详见第五章商务及技术要求。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kern w:val="0"/>
                <w:sz w:val="24"/>
                <w:szCs w:val="24"/>
                <w:lang w:val="zh-CN"/>
              </w:rPr>
              <w:t>供货时间</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left"/>
              <w:rPr>
                <w:rFonts w:hint="eastAsia" w:asciiTheme="majorEastAsia" w:hAnsiTheme="majorEastAsia" w:eastAsiaTheme="majorEastAsia" w:cstheme="majorEastAsia"/>
              </w:rPr>
            </w:pPr>
            <w:r>
              <w:rPr>
                <w:rFonts w:hint="eastAsia" w:asciiTheme="majorEastAsia" w:hAnsiTheme="majorEastAsia" w:eastAsiaTheme="majorEastAsia" w:cstheme="majorEastAsia"/>
                <w:bCs/>
                <w:kern w:val="0"/>
                <w:sz w:val="24"/>
                <w:szCs w:val="24"/>
                <w:lang w:val="zh-CN"/>
              </w:rPr>
              <w:t>合同签订后</w:t>
            </w:r>
            <w:r>
              <w:rPr>
                <w:rFonts w:hint="eastAsia" w:asciiTheme="majorEastAsia" w:hAnsiTheme="majorEastAsia" w:eastAsiaTheme="majorEastAsia" w:cstheme="majorEastAsia"/>
                <w:bCs/>
                <w:kern w:val="0"/>
                <w:sz w:val="24"/>
                <w:szCs w:val="24"/>
              </w:rPr>
              <w:t>7天之内，</w:t>
            </w:r>
            <w:r>
              <w:rPr>
                <w:rFonts w:hint="eastAsia" w:asciiTheme="majorEastAsia" w:hAnsiTheme="majorEastAsia" w:eastAsiaTheme="majorEastAsia" w:cstheme="majorEastAsia"/>
                <w:bCs/>
                <w:kern w:val="0"/>
                <w:sz w:val="24"/>
                <w:szCs w:val="24"/>
                <w:lang w:val="zh-CN"/>
              </w:rPr>
              <w:t>按招标人要求分批次供货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资格审查方式</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7" w:name="EBfb35baf2d17c40b0a73d526f43f1f05f"/>
            <w:bookmarkEnd w:id="17"/>
            <w:r>
              <w:rPr>
                <w:rFonts w:hint="eastAsia" w:asciiTheme="majorEastAsia" w:hAnsiTheme="majorEastAsia" w:eastAsiaTheme="majorEastAsia" w:cstheme="majorEastAsia"/>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招标方式</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8" w:name="EBff70116223de4b8e8451c34577c8886c"/>
            <w:bookmarkEnd w:id="18"/>
            <w:r>
              <w:rPr>
                <w:rFonts w:hint="eastAsia" w:asciiTheme="majorEastAsia" w:hAnsiTheme="majorEastAsia" w:eastAsiaTheme="majorEastAsia" w:cstheme="majorEastAsia"/>
                <w:sz w:val="24"/>
                <w:szCs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投标人资质条件、能力和信誉</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12"/>
              <w:shd w:val="clear" w:color="auto" w:fill="FFFFFF"/>
              <w:spacing w:line="400" w:lineRule="exact"/>
              <w:rPr>
                <w:rFonts w:hint="eastAsia" w:asciiTheme="majorEastAsia" w:hAnsiTheme="majorEastAsia" w:eastAsiaTheme="majorEastAsia" w:cstheme="majorEastAsia"/>
                <w:shd w:val="clear" w:color="auto" w:fill="FFFFFF"/>
              </w:rPr>
            </w:pPr>
            <w:bookmarkStart w:id="19" w:name="EB055a946796754fb6a8dfaeedc5bb21ce"/>
            <w:bookmarkEnd w:id="19"/>
            <w:r>
              <w:rPr>
                <w:rFonts w:hint="eastAsia" w:asciiTheme="majorEastAsia" w:hAnsiTheme="majorEastAsia" w:eastAsiaTheme="majorEastAsia" w:cstheme="majorEastAsia"/>
                <w:shd w:val="clear" w:color="auto" w:fill="FFFFFF"/>
                <w:lang w:val="en-US" w:eastAsia="zh-CN"/>
              </w:rPr>
              <w:t>1、</w:t>
            </w:r>
            <w:r>
              <w:rPr>
                <w:rFonts w:hint="eastAsia" w:asciiTheme="majorEastAsia" w:hAnsiTheme="majorEastAsia" w:eastAsiaTheme="majorEastAsia" w:cstheme="majorEastAsia"/>
                <w:shd w:val="clear" w:color="auto" w:fill="FFFFFF"/>
              </w:rPr>
              <w:t>投标人须具有有效的营业执照，且营业执照经营范围应包括轮胎销售，投标人不得以分公司名义进行投标，投标文件的单位盖章必须使用其法人公章，分公司盖章无效；（提供营业执照复印件加盖单位公章）</w:t>
            </w:r>
          </w:p>
          <w:p>
            <w:pPr>
              <w:pStyle w:val="212"/>
              <w:shd w:val="clear" w:color="auto" w:fill="FFFFFF"/>
              <w:spacing w:line="400" w:lineRule="exact"/>
              <w:rPr>
                <w:rFonts w:hint="eastAsia" w:asciiTheme="majorEastAsia" w:hAnsiTheme="majorEastAsia" w:eastAsiaTheme="majorEastAsia" w:cstheme="majorEastAsia"/>
                <w:shd w:val="clear" w:color="auto" w:fill="FFFFFF"/>
              </w:rPr>
            </w:pPr>
            <w:r>
              <w:rPr>
                <w:rFonts w:hint="eastAsia" w:asciiTheme="majorEastAsia" w:hAnsiTheme="majorEastAsia" w:eastAsiaTheme="majorEastAsia" w:cstheme="majorEastAsia"/>
                <w:shd w:val="clear" w:color="auto" w:fill="FFFFFF"/>
                <w:lang w:val="en-US" w:eastAsia="zh-CN"/>
              </w:rPr>
              <w:t>2、</w:t>
            </w:r>
            <w:r>
              <w:rPr>
                <w:rFonts w:hint="eastAsia" w:asciiTheme="majorEastAsia" w:hAnsiTheme="majorEastAsia" w:eastAsiaTheme="majorEastAsia" w:cstheme="majorEastAsia"/>
                <w:shd w:val="clear" w:color="auto" w:fill="FFFFFF"/>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信用信息进行查询，做好记录，由评标委员会按招标文件的规定进行评审。）</w:t>
            </w:r>
          </w:p>
          <w:p>
            <w:pPr>
              <w:pStyle w:val="212"/>
              <w:shd w:val="clear" w:color="auto" w:fill="FFFFFF"/>
              <w:spacing w:line="400" w:lineRule="exact"/>
              <w:rPr>
                <w:rFonts w:hint="eastAsia" w:asciiTheme="majorEastAsia" w:hAnsiTheme="majorEastAsia" w:eastAsiaTheme="majorEastAsia" w:cstheme="majorEastAsia"/>
                <w:shd w:val="clear" w:color="auto" w:fill="FFFFFF"/>
              </w:rPr>
            </w:pPr>
            <w:r>
              <w:rPr>
                <w:rFonts w:hint="eastAsia" w:asciiTheme="majorEastAsia" w:hAnsiTheme="majorEastAsia" w:eastAsiaTheme="majorEastAsia" w:cstheme="majorEastAsia"/>
                <w:shd w:val="clear" w:color="auto" w:fill="FFFFFF"/>
                <w:lang w:val="en-US" w:eastAsia="zh-CN"/>
              </w:rPr>
              <w:t>3、</w:t>
            </w:r>
            <w:r>
              <w:rPr>
                <w:rFonts w:hint="eastAsia" w:asciiTheme="majorEastAsia" w:hAnsiTheme="majorEastAsia" w:eastAsiaTheme="majorEastAsia" w:cstheme="majorEastAsia"/>
                <w:shd w:val="clear" w:color="auto" w:fill="FFFFFF"/>
              </w:rPr>
              <w:t>单位负责人为同一人或者存在控股、管理关系的不同单位，不得同时参加同一标段投标或者未划分标段的同一招标项目投标；</w:t>
            </w:r>
          </w:p>
          <w:p>
            <w:pPr>
              <w:pStyle w:val="212"/>
              <w:shd w:val="clear" w:color="auto" w:fill="FFFFFF"/>
              <w:spacing w:line="400" w:lineRule="exact"/>
              <w:rPr>
                <w:rFonts w:hint="eastAsia" w:asciiTheme="majorEastAsia" w:hAnsiTheme="majorEastAsia" w:eastAsiaTheme="majorEastAsia" w:cstheme="majorEastAsia"/>
                <w:shd w:val="clear" w:color="auto" w:fill="FFFFFF"/>
              </w:rPr>
            </w:pPr>
            <w:r>
              <w:rPr>
                <w:rFonts w:hint="eastAsia" w:asciiTheme="majorEastAsia" w:hAnsiTheme="majorEastAsia" w:eastAsiaTheme="majorEastAsia" w:cstheme="majorEastAsia"/>
                <w:shd w:val="clear" w:color="auto" w:fill="FFFFFF"/>
                <w:lang w:val="en-US" w:eastAsia="zh-CN"/>
              </w:rPr>
              <w:t>4、</w:t>
            </w:r>
            <w:r>
              <w:rPr>
                <w:rFonts w:hint="eastAsia" w:asciiTheme="majorEastAsia" w:hAnsiTheme="majorEastAsia" w:eastAsiaTheme="majorEastAsia" w:cstheme="majorEastAsia"/>
                <w:shd w:val="clear" w:color="auto" w:fill="FFFFFF"/>
              </w:rPr>
              <w:t>与招标人存在利害关系可能影响招标公正性的法人、其他组织或者个人，不得参加投标；</w:t>
            </w:r>
          </w:p>
          <w:p>
            <w:pPr>
              <w:pStyle w:val="212"/>
              <w:spacing w:line="400" w:lineRule="exact"/>
              <w:rPr>
                <w:rFonts w:hint="eastAsia" w:asciiTheme="majorEastAsia" w:hAnsiTheme="majorEastAsia" w:eastAsiaTheme="majorEastAsia" w:cstheme="majorEastAsia"/>
                <w:shd w:val="clear" w:color="auto" w:fill="FFFFFF"/>
                <w:lang w:val="zh-CN"/>
              </w:rPr>
            </w:pPr>
            <w:r>
              <w:rPr>
                <w:rFonts w:hint="eastAsia" w:asciiTheme="majorEastAsia" w:hAnsiTheme="majorEastAsia" w:eastAsiaTheme="majorEastAsia" w:cstheme="majorEastAsia"/>
                <w:shd w:val="clear" w:color="auto" w:fill="FFFFFF"/>
                <w:lang w:val="en-US" w:eastAsia="zh-CN"/>
              </w:rPr>
              <w:t>5、</w:t>
            </w:r>
            <w:r>
              <w:rPr>
                <w:rFonts w:hint="eastAsia" w:asciiTheme="majorEastAsia" w:hAnsiTheme="majorEastAsia" w:eastAsiaTheme="majorEastAsia" w:cstheme="majorEastAsia"/>
                <w:shd w:val="clear" w:color="auto" w:fill="FFFFFF"/>
              </w:rPr>
              <w:t>本项目不接受联合体投标，投标人须以独立投标人身份参与本项目投标。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是否接受联合体投标</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0" w:name="EBb65be9bd87c24982a41dae633c59a85a"/>
            <w:bookmarkEnd w:id="20"/>
            <w:r>
              <w:rPr>
                <w:rFonts w:hint="eastAsia" w:asciiTheme="majorEastAsia" w:hAnsiTheme="majorEastAsia" w:eastAsiaTheme="majorEastAsia" w:cstheme="maj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踏勘现场</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1" w:name="EB97173a9eab9e4bac85cee71798e0874a"/>
            <w:bookmarkEnd w:id="21"/>
            <w:r>
              <w:rPr>
                <w:rFonts w:hint="eastAsia" w:asciiTheme="majorEastAsia" w:hAnsiTheme="majorEastAsia" w:eastAsiaTheme="majorEastAsia" w:cstheme="maj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1.10.1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投标预备会</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2" w:name="EB4a47de0a066e4495b93faa9b3d976e4e"/>
            <w:bookmarkEnd w:id="22"/>
            <w:r>
              <w:rPr>
                <w:rFonts w:hint="eastAsia" w:asciiTheme="majorEastAsia" w:hAnsiTheme="majorEastAsia" w:eastAsiaTheme="majorEastAsia" w:cstheme="maj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分  包</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3" w:name="EBb07a8836544444aea5289a11ea929c88"/>
            <w:bookmarkEnd w:id="23"/>
            <w:r>
              <w:rPr>
                <w:rFonts w:hint="eastAsia" w:asciiTheme="majorEastAsia" w:hAnsiTheme="majorEastAsia" w:eastAsiaTheme="majorEastAsia" w:cstheme="majorEastAsia"/>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偏  离</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4" w:name="EB185151ea980649059a2ecd710bde84ad"/>
            <w:bookmarkEnd w:id="24"/>
            <w:r>
              <w:rPr>
                <w:rFonts w:hint="eastAsia" w:asciiTheme="majorEastAsia" w:hAnsiTheme="majorEastAsia" w:eastAsiaTheme="majorEastAsia" w:cstheme="majorEastAsia"/>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构成招标文件的其他材料</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5" w:name="EB92721599887e4f1ca7d14f4c63769905"/>
            <w:bookmarkEnd w:id="25"/>
            <w:r>
              <w:rPr>
                <w:rFonts w:hint="eastAsia" w:asciiTheme="majorEastAsia" w:hAnsiTheme="majorEastAsia" w:eastAsiaTheme="majorEastAsia" w:cstheme="majorEastAsia"/>
                <w:sz w:val="24"/>
                <w:szCs w:val="24"/>
              </w:rPr>
              <w:t>答疑澄清和修改文件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招标文件的</w:t>
            </w:r>
          </w:p>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澄清或修改</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500" w:lineRule="exact"/>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本项目实行网上接收澄清提问并发布回复或修改，投标人可在项目所属电子交易平台上或邮箱（dlky@ycjyjt.com）提交澄清要求，并接收澄清或修改文件。</w:t>
            </w:r>
          </w:p>
          <w:p>
            <w:pPr>
              <w:spacing w:line="500" w:lineRule="exact"/>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投标人提问截止时间及答疑发布时间：</w:t>
            </w:r>
            <w:bookmarkStart w:id="26" w:name="EB0e5557fa073c45e6af45f4a37e804545"/>
            <w:bookmarkEnd w:id="26"/>
          </w:p>
          <w:p>
            <w:pPr>
              <w:spacing w:line="500" w:lineRule="exact"/>
              <w:rPr>
                <w:rFonts w:hint="eastAsia" w:ascii="宋体" w:hAnsi="宋体" w:cs="宋体"/>
                <w:color w:val="000000"/>
                <w:sz w:val="24"/>
                <w:szCs w:val="24"/>
                <w:highlight w:val="none"/>
              </w:rPr>
            </w:pPr>
            <w:r>
              <w:rPr>
                <w:rFonts w:hint="eastAsia" w:ascii="宋体" w:hAnsi="宋体" w:cs="宋体"/>
                <w:color w:val="000000"/>
                <w:sz w:val="24"/>
                <w:szCs w:val="24"/>
                <w:highlight w:val="none"/>
              </w:rPr>
              <w:t>提问截止时间：</w:t>
            </w:r>
            <w:r>
              <w:rPr>
                <w:rFonts w:hint="eastAsia" w:ascii="宋体" w:hAnsi="宋体" w:cs="宋体"/>
                <w:b/>
                <w:bCs/>
                <w:color w:val="000000"/>
                <w:sz w:val="24"/>
                <w:highlight w:val="none"/>
              </w:rPr>
              <w:t>2021年</w:t>
            </w:r>
            <w:r>
              <w:rPr>
                <w:rFonts w:hint="eastAsia" w:ascii="宋体" w:hAnsi="宋体" w:cs="宋体"/>
                <w:b/>
                <w:bCs/>
                <w:color w:val="000000"/>
                <w:sz w:val="24"/>
                <w:highlight w:val="none"/>
                <w:lang w:val="en-US" w:eastAsia="zh-CN"/>
              </w:rPr>
              <w:t>11</w:t>
            </w:r>
            <w:r>
              <w:rPr>
                <w:rFonts w:hint="eastAsia" w:ascii="宋体" w:hAnsi="宋体" w:cs="宋体"/>
                <w:b/>
                <w:bCs/>
                <w:color w:val="000000"/>
                <w:sz w:val="24"/>
                <w:highlight w:val="none"/>
              </w:rPr>
              <w:t>月</w:t>
            </w:r>
            <w:r>
              <w:rPr>
                <w:rFonts w:hint="eastAsia" w:ascii="宋体" w:hAnsi="宋体" w:cs="宋体"/>
                <w:b/>
                <w:bCs/>
                <w:color w:val="000000"/>
                <w:sz w:val="24"/>
                <w:highlight w:val="none"/>
                <w:lang w:val="en-US" w:eastAsia="zh-CN"/>
              </w:rPr>
              <w:t>2</w:t>
            </w:r>
            <w:r>
              <w:rPr>
                <w:rFonts w:hint="eastAsia" w:ascii="宋体" w:hAnsi="宋体" w:cs="宋体"/>
                <w:b/>
                <w:bCs/>
                <w:color w:val="000000"/>
                <w:sz w:val="24"/>
                <w:highlight w:val="none"/>
              </w:rPr>
              <w:t>日</w:t>
            </w:r>
            <w:r>
              <w:rPr>
                <w:rFonts w:hint="eastAsia" w:ascii="宋体" w:hAnsi="宋体" w:cs="宋体"/>
                <w:b/>
                <w:bCs/>
                <w:color w:val="000000"/>
                <w:sz w:val="24"/>
                <w:highlight w:val="none"/>
                <w:lang w:val="en-US" w:eastAsia="zh-CN"/>
              </w:rPr>
              <w:t>12</w:t>
            </w:r>
            <w:r>
              <w:rPr>
                <w:rFonts w:hint="eastAsia" w:ascii="宋体" w:hAnsi="宋体" w:cs="宋体"/>
                <w:b/>
                <w:bCs/>
                <w:color w:val="000000"/>
                <w:sz w:val="24"/>
                <w:highlight w:val="none"/>
              </w:rPr>
              <w:t>时</w:t>
            </w:r>
            <w:r>
              <w:rPr>
                <w:rFonts w:hint="eastAsia" w:ascii="宋体" w:hAnsi="宋体" w:cs="宋体"/>
                <w:b/>
                <w:bCs/>
                <w:color w:val="000000"/>
                <w:sz w:val="24"/>
                <w:highlight w:val="none"/>
                <w:lang w:val="en-US" w:eastAsia="zh-CN"/>
              </w:rPr>
              <w:t>00分</w:t>
            </w:r>
            <w:r>
              <w:rPr>
                <w:rFonts w:hint="eastAsia" w:ascii="宋体" w:hAnsi="宋体" w:cs="宋体"/>
                <w:b/>
                <w:bCs/>
                <w:color w:val="000000"/>
                <w:sz w:val="24"/>
                <w:szCs w:val="24"/>
                <w:highlight w:val="none"/>
              </w:rPr>
              <w:t>。</w:t>
            </w:r>
          </w:p>
          <w:p>
            <w:pPr>
              <w:spacing w:line="500" w:lineRule="exact"/>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rPr>
              <w:t>发布澄清修改时间：</w:t>
            </w:r>
            <w:bookmarkStart w:id="27" w:name="EB697352f1d359447b9c3d831be67557ee"/>
            <w:bookmarkEnd w:id="27"/>
            <w:r>
              <w:rPr>
                <w:rFonts w:hint="eastAsia" w:ascii="宋体" w:hAnsi="宋体" w:cs="宋体"/>
                <w:b/>
                <w:color w:val="000000"/>
                <w:sz w:val="24"/>
                <w:szCs w:val="24"/>
                <w:highlight w:val="none"/>
              </w:rPr>
              <w:t>2021年</w:t>
            </w:r>
            <w:r>
              <w:rPr>
                <w:rFonts w:hint="eastAsia" w:ascii="宋体" w:hAnsi="宋体" w:cs="宋体"/>
                <w:b/>
                <w:color w:val="000000"/>
                <w:sz w:val="24"/>
                <w:szCs w:val="24"/>
                <w:highlight w:val="none"/>
                <w:lang w:val="en-US" w:eastAsia="zh-CN"/>
              </w:rPr>
              <w:t>11</w:t>
            </w:r>
            <w:r>
              <w:rPr>
                <w:rFonts w:hint="eastAsia" w:ascii="宋体" w:hAnsi="宋体" w:cs="宋体"/>
                <w:b/>
                <w:color w:val="000000"/>
                <w:sz w:val="24"/>
                <w:szCs w:val="24"/>
                <w:highlight w:val="none"/>
              </w:rPr>
              <w:t>月</w:t>
            </w:r>
            <w:r>
              <w:rPr>
                <w:rFonts w:hint="eastAsia" w:ascii="宋体" w:hAnsi="宋体" w:cs="宋体"/>
                <w:b/>
                <w:color w:val="000000"/>
                <w:sz w:val="24"/>
                <w:szCs w:val="24"/>
                <w:highlight w:val="none"/>
                <w:lang w:val="en-US" w:eastAsia="zh-CN"/>
              </w:rPr>
              <w:t>2</w:t>
            </w:r>
            <w:r>
              <w:rPr>
                <w:rFonts w:hint="eastAsia" w:ascii="宋体" w:hAnsi="宋体" w:cs="宋体"/>
                <w:b/>
                <w:color w:val="000000"/>
                <w:sz w:val="24"/>
                <w:szCs w:val="24"/>
                <w:highlight w:val="none"/>
              </w:rPr>
              <w:t>日</w:t>
            </w:r>
            <w:r>
              <w:rPr>
                <w:rFonts w:hint="eastAsia" w:ascii="宋体" w:hAnsi="宋体" w:cs="宋体"/>
                <w:b/>
                <w:color w:val="000000"/>
                <w:sz w:val="24"/>
                <w:szCs w:val="24"/>
                <w:highlight w:val="none"/>
                <w:lang w:val="en-US" w:eastAsia="zh-CN"/>
              </w:rPr>
              <w:t>17</w:t>
            </w:r>
            <w:r>
              <w:rPr>
                <w:rFonts w:hint="eastAsia" w:ascii="宋体" w:hAnsi="宋体" w:cs="宋体"/>
                <w:b/>
                <w:color w:val="000000"/>
                <w:sz w:val="24"/>
                <w:szCs w:val="24"/>
                <w:highlight w:val="none"/>
              </w:rPr>
              <w:t>时</w:t>
            </w:r>
            <w:r>
              <w:rPr>
                <w:rFonts w:hint="eastAsia" w:ascii="宋体" w:hAnsi="宋体" w:cs="宋体"/>
                <w:b/>
                <w:color w:val="000000"/>
                <w:sz w:val="24"/>
                <w:szCs w:val="24"/>
                <w:highlight w:val="none"/>
                <w:lang w:val="en-US" w:eastAsia="zh-CN"/>
              </w:rPr>
              <w:t>30分</w:t>
            </w:r>
          </w:p>
          <w:p>
            <w:pPr>
              <w:spacing w:line="400" w:lineRule="exact"/>
              <w:rPr>
                <w:rFonts w:hint="eastAsia" w:asciiTheme="majorEastAsia" w:hAnsiTheme="majorEastAsia" w:eastAsiaTheme="majorEastAsia" w:cstheme="majorEastAsia"/>
                <w:sz w:val="24"/>
                <w:szCs w:val="24"/>
              </w:rPr>
            </w:pPr>
            <w:r>
              <w:rPr>
                <w:rFonts w:hint="eastAsia" w:ascii="宋体" w:hAnsi="宋体" w:cs="宋体"/>
                <w:color w:val="000000"/>
                <w:sz w:val="24"/>
                <w:szCs w:val="24"/>
                <w:highlight w:val="none"/>
              </w:rPr>
              <w:t>发布澄清修改方式：同招标公告发布媒体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构成投标文件的其他材料</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8" w:name="EBa4270fe03d9944d79b443687e1adde2e"/>
            <w:bookmarkEnd w:id="28"/>
            <w:r>
              <w:rPr>
                <w:rFonts w:hint="eastAsia" w:asciiTheme="majorEastAsia" w:hAnsiTheme="majorEastAsia" w:eastAsiaTheme="majorEastAsia" w:cstheme="maj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最高限价</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12"/>
              <w:shd w:val="clear" w:color="auto" w:fill="FFFFFF"/>
              <w:spacing w:line="400" w:lineRule="exact"/>
              <w:rPr>
                <w:rFonts w:hint="eastAsia" w:asciiTheme="majorEastAsia" w:hAnsiTheme="majorEastAsia" w:eastAsiaTheme="majorEastAsia" w:cstheme="majorEastAsia"/>
                <w:b/>
              </w:rPr>
            </w:pPr>
            <w:bookmarkStart w:id="29" w:name="EBf13cc560a5c04f288b402845d205dad0"/>
            <w:bookmarkEnd w:id="29"/>
            <w:bookmarkStart w:id="30" w:name="EB4fac8f34ca4441dc8fd798753dce1223"/>
            <w:bookmarkEnd w:id="30"/>
            <w:r>
              <w:rPr>
                <w:rFonts w:hint="eastAsia" w:asciiTheme="majorEastAsia" w:hAnsiTheme="majorEastAsia" w:eastAsiaTheme="majorEastAsia" w:cstheme="majorEastAsia"/>
                <w:b/>
                <w:lang w:val="zh-CN"/>
              </w:rPr>
              <w:t>人民币：</w:t>
            </w:r>
            <w:r>
              <w:rPr>
                <w:rFonts w:hint="eastAsia" w:asciiTheme="majorEastAsia" w:hAnsiTheme="majorEastAsia" w:eastAsiaTheme="majorEastAsia" w:cstheme="majorEastAsia"/>
                <w:b/>
                <w:lang w:val="en-US" w:eastAsia="zh-CN"/>
              </w:rPr>
              <w:t>壹佰贰拾贰万陆仟元整</w:t>
            </w:r>
            <w:r>
              <w:rPr>
                <w:rFonts w:hint="eastAsia" w:asciiTheme="majorEastAsia" w:hAnsiTheme="majorEastAsia" w:eastAsiaTheme="majorEastAsia" w:cstheme="majorEastAsia"/>
                <w:b/>
                <w:lang w:val="zh-CN"/>
              </w:rPr>
              <w:t>（</w:t>
            </w:r>
            <w:r>
              <w:rPr>
                <w:rFonts w:hint="eastAsia" w:asciiTheme="majorEastAsia" w:hAnsiTheme="majorEastAsia" w:eastAsiaTheme="majorEastAsia" w:cstheme="majorEastAsia"/>
                <w:b/>
                <w:lang w:val="en-US" w:eastAsia="zh-CN"/>
              </w:rPr>
              <w:t>¥1226000.00</w:t>
            </w:r>
            <w:r>
              <w:rPr>
                <w:rFonts w:hint="eastAsia" w:asciiTheme="majorEastAsia" w:hAnsiTheme="majorEastAsia" w:eastAsiaTheme="majorEastAsia" w:cstheme="majorEastAsia"/>
                <w:b/>
                <w:lang w:val="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投标有效期</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自投标截止时间起</w:t>
            </w:r>
            <w:bookmarkStart w:id="31" w:name="EB0f3ee7858e0945abb2e956d02b77da80"/>
            <w:r>
              <w:rPr>
                <w:rFonts w:hint="eastAsia" w:asciiTheme="majorEastAsia" w:hAnsiTheme="majorEastAsia" w:eastAsiaTheme="majorEastAsia" w:cstheme="majorEastAsia"/>
                <w:sz w:val="24"/>
                <w:szCs w:val="24"/>
              </w:rPr>
              <w:t>90</w:t>
            </w:r>
            <w:bookmarkEnd w:id="31"/>
            <w:r>
              <w:rPr>
                <w:rFonts w:hint="eastAsia" w:asciiTheme="majorEastAsia" w:hAnsiTheme="majorEastAsia" w:eastAsiaTheme="majorEastAsia" w:cstheme="majorEastAsia"/>
                <w:sz w:val="24"/>
                <w:szCs w:val="24"/>
              </w:rPr>
              <w:t>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投标保证金</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本项目不收取投标保证金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napToGrid w:val="0"/>
                <w:sz w:val="24"/>
                <w:szCs w:val="24"/>
              </w:rPr>
            </w:pPr>
            <w:r>
              <w:rPr>
                <w:rFonts w:hint="eastAsia" w:asciiTheme="majorEastAsia" w:hAnsiTheme="majorEastAsia" w:eastAsiaTheme="majorEastAsia" w:cstheme="majorEastAsia"/>
                <w:snapToGrid w:val="0"/>
                <w:sz w:val="24"/>
                <w:szCs w:val="24"/>
              </w:rPr>
              <w:t>退还投标保证金</w:t>
            </w:r>
          </w:p>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napToGrid w:val="0"/>
                <w:sz w:val="24"/>
                <w:szCs w:val="24"/>
              </w:rPr>
              <w:t>及利息</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计息标准：/</w:t>
            </w:r>
          </w:p>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Cs/>
                <w:sz w:val="24"/>
                <w:szCs w:val="24"/>
              </w:rPr>
              <w:t>计息时间：/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是否允许递交</w:t>
            </w:r>
          </w:p>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备选投标方案</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投标文件份数</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500" w:lineRule="exact"/>
              <w:rPr>
                <w:rFonts w:hint="eastAsia" w:ascii="宋体" w:hAnsi="宋体" w:cs="宋体"/>
                <w:color w:val="000000"/>
                <w:kern w:val="1"/>
                <w:sz w:val="24"/>
                <w:szCs w:val="24"/>
                <w:highlight w:val="none"/>
              </w:rPr>
            </w:pPr>
            <w:bookmarkStart w:id="32" w:name="EB4c0ff0db43b847bb9ead747b21c4458b"/>
            <w:bookmarkEnd w:id="32"/>
            <w:r>
              <w:rPr>
                <w:rFonts w:hint="eastAsia" w:ascii="宋体" w:hAnsi="宋体" w:cs="宋体"/>
                <w:color w:val="000000"/>
                <w:kern w:val="1"/>
                <w:sz w:val="24"/>
                <w:szCs w:val="24"/>
                <w:highlight w:val="none"/>
              </w:rPr>
              <w:t>投标文件纸质版：</w:t>
            </w:r>
            <w:r>
              <w:rPr>
                <w:rFonts w:hint="eastAsia" w:ascii="宋体" w:hAnsi="宋体" w:cs="宋体"/>
                <w:b/>
                <w:color w:val="000000"/>
                <w:kern w:val="1"/>
                <w:sz w:val="24"/>
                <w:szCs w:val="24"/>
                <w:highlight w:val="none"/>
              </w:rPr>
              <w:t>正本一份，副本二份。</w:t>
            </w:r>
          </w:p>
          <w:p>
            <w:pPr>
              <w:spacing w:line="400" w:lineRule="exact"/>
              <w:jc w:val="left"/>
              <w:rPr>
                <w:rFonts w:hint="eastAsia" w:asciiTheme="majorEastAsia" w:hAnsiTheme="majorEastAsia" w:eastAsiaTheme="majorEastAsia" w:cstheme="majorEastAsia"/>
                <w:sz w:val="24"/>
                <w:szCs w:val="24"/>
                <w:lang w:eastAsia="zh-CN"/>
              </w:rPr>
            </w:pPr>
            <w:r>
              <w:rPr>
                <w:rFonts w:hint="eastAsia" w:ascii="宋体" w:hAnsi="宋体" w:cs="宋体"/>
                <w:color w:val="000000"/>
                <w:kern w:val="1"/>
                <w:sz w:val="24"/>
                <w:szCs w:val="24"/>
                <w:highlight w:val="none"/>
              </w:rPr>
              <w:t>投标文件电子版：</w:t>
            </w:r>
            <w:r>
              <w:rPr>
                <w:rFonts w:hint="eastAsia" w:ascii="宋体" w:hAnsi="宋体" w:cs="宋体"/>
                <w:b/>
                <w:color w:val="000000"/>
                <w:kern w:val="1"/>
                <w:sz w:val="24"/>
                <w:szCs w:val="24"/>
                <w:highlight w:val="none"/>
              </w:rPr>
              <w:t>电子U盘二份，电子文件应为纸质文件的盖章版PDF扫描件内容</w:t>
            </w:r>
            <w:r>
              <w:rPr>
                <w:rFonts w:hint="eastAsia" w:ascii="宋体" w:hAnsi="宋体" w:cs="宋体"/>
                <w:b/>
                <w:bCs/>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投标截止时间</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b/>
                <w:sz w:val="24"/>
                <w:szCs w:val="24"/>
              </w:rPr>
            </w:pPr>
            <w:bookmarkStart w:id="33" w:name="EB4a73218d5ef1494e935148b1c9fa5b99"/>
            <w:bookmarkEnd w:id="33"/>
            <w:r>
              <w:rPr>
                <w:rFonts w:hint="eastAsia" w:asciiTheme="majorEastAsia" w:hAnsiTheme="majorEastAsia" w:eastAsiaTheme="majorEastAsia" w:cstheme="majorEastAsia"/>
                <w:b/>
                <w:sz w:val="24"/>
                <w:szCs w:val="24"/>
                <w:lang w:eastAsia="zh-CN"/>
              </w:rPr>
              <w:t>2021</w:t>
            </w:r>
            <w:r>
              <w:rPr>
                <w:rFonts w:hint="eastAsia" w:asciiTheme="majorEastAsia" w:hAnsiTheme="majorEastAsia" w:eastAsiaTheme="majorEastAsia" w:cstheme="majorEastAsia"/>
                <w:b/>
                <w:sz w:val="24"/>
                <w:szCs w:val="24"/>
              </w:rPr>
              <w:t>年</w:t>
            </w:r>
            <w:r>
              <w:rPr>
                <w:rFonts w:hint="eastAsia" w:asciiTheme="majorEastAsia" w:hAnsiTheme="majorEastAsia" w:eastAsiaTheme="majorEastAsia" w:cstheme="majorEastAsia"/>
                <w:b/>
                <w:sz w:val="24"/>
                <w:szCs w:val="24"/>
                <w:lang w:val="en-US" w:eastAsia="zh-CN"/>
              </w:rPr>
              <w:t>11</w:t>
            </w:r>
            <w:r>
              <w:rPr>
                <w:rFonts w:hint="eastAsia" w:asciiTheme="majorEastAsia" w:hAnsiTheme="majorEastAsia" w:eastAsiaTheme="majorEastAsia" w:cstheme="majorEastAsia"/>
                <w:b/>
                <w:sz w:val="24"/>
                <w:szCs w:val="24"/>
              </w:rPr>
              <w:t>月</w:t>
            </w:r>
            <w:r>
              <w:rPr>
                <w:rFonts w:hint="eastAsia" w:asciiTheme="majorEastAsia" w:hAnsiTheme="majorEastAsia" w:eastAsiaTheme="majorEastAsia" w:cstheme="majorEastAsia"/>
                <w:b/>
                <w:sz w:val="24"/>
                <w:szCs w:val="24"/>
                <w:lang w:val="en-US" w:eastAsia="zh-CN"/>
              </w:rPr>
              <w:t>18</w:t>
            </w:r>
            <w:r>
              <w:rPr>
                <w:rFonts w:hint="eastAsia" w:asciiTheme="majorEastAsia" w:hAnsiTheme="majorEastAsia" w:eastAsiaTheme="majorEastAsia" w:cstheme="majorEastAsia"/>
                <w:b/>
                <w:sz w:val="24"/>
                <w:szCs w:val="24"/>
              </w:rPr>
              <w:t>日</w:t>
            </w:r>
            <w:r>
              <w:rPr>
                <w:rFonts w:hint="eastAsia" w:asciiTheme="majorEastAsia" w:hAnsiTheme="majorEastAsia" w:eastAsiaTheme="majorEastAsia" w:cstheme="majorEastAsia"/>
                <w:b/>
                <w:sz w:val="24"/>
                <w:szCs w:val="24"/>
                <w:lang w:val="en-US" w:eastAsia="zh-CN"/>
              </w:rPr>
              <w:t>9</w:t>
            </w:r>
            <w:r>
              <w:rPr>
                <w:rFonts w:hint="eastAsia" w:asciiTheme="majorEastAsia" w:hAnsiTheme="majorEastAsia" w:eastAsiaTheme="majorEastAsia" w:cstheme="majorEastAsia"/>
                <w:b/>
                <w:sz w:val="24"/>
                <w:szCs w:val="24"/>
              </w:rPr>
              <w:t>时</w:t>
            </w:r>
            <w:r>
              <w:rPr>
                <w:rFonts w:hint="eastAsia" w:asciiTheme="majorEastAsia" w:hAnsiTheme="majorEastAsia" w:eastAsiaTheme="majorEastAsia" w:cstheme="majorEastAsia"/>
                <w:b/>
                <w:sz w:val="24"/>
                <w:szCs w:val="24"/>
                <w:lang w:val="en-US" w:eastAsia="zh-CN"/>
              </w:rPr>
              <w:t>30</w:t>
            </w:r>
            <w:r>
              <w:rPr>
                <w:rFonts w:hint="eastAsia" w:asciiTheme="majorEastAsia" w:hAnsiTheme="majorEastAsia" w:eastAsiaTheme="majorEastAsia" w:cstheme="majorEastAsia"/>
                <w:b/>
                <w:sz w:val="24"/>
                <w:szCs w:val="24"/>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递交投标文件方式及地点</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宋体" w:hAnsi="宋体" w:cs="宋体"/>
                <w:b/>
                <w:sz w:val="24"/>
                <w:szCs w:val="24"/>
                <w:highlight w:val="none"/>
              </w:rPr>
              <w:t>现场递交</w:t>
            </w:r>
            <w:r>
              <w:rPr>
                <w:rFonts w:hint="eastAsia" w:ascii="宋体" w:hAnsi="宋体" w:cs="宋体"/>
                <w:sz w:val="24"/>
                <w:szCs w:val="24"/>
                <w:highlight w:val="none"/>
              </w:rPr>
              <w:t>：投标人在投标截止时间前，可将纸质版和电子U盘投标文件，按照招标文件要求密封和加写标记后，递交至</w:t>
            </w:r>
            <w:bookmarkStart w:id="34" w:name="EB3cbab604f2b74b3db541bf8bc6af4d5e"/>
            <w:bookmarkEnd w:id="34"/>
            <w:bookmarkStart w:id="35" w:name="EBe53dfc8c604343ea9bfa0a1ff7dff2c4"/>
            <w:bookmarkEnd w:id="35"/>
            <w:r>
              <w:rPr>
                <w:rFonts w:hint="eastAsia" w:ascii="宋体" w:hAnsi="宋体" w:cs="宋体"/>
                <w:b/>
                <w:bCs/>
                <w:kern w:val="0"/>
                <w:sz w:val="24"/>
                <w:szCs w:val="24"/>
                <w:highlight w:val="none"/>
                <w:u w:val="single"/>
                <w:lang w:bidi="ar"/>
              </w:rPr>
              <w:t>宜昌交通旅游产业发展集团有限公司开标室(伍家岗区沿江大道182号首信财富中心7楼开标室)</w:t>
            </w:r>
            <w:r>
              <w:rPr>
                <w:rFonts w:hint="eastAsia" w:ascii="宋体" w:hAnsi="宋体" w:cs="宋体"/>
                <w:sz w:val="24"/>
                <w:szCs w:val="24"/>
                <w:highlight w:val="none"/>
              </w:rPr>
              <w:t>。逾期送达的或者未送达指定地点的，或者未按照招标文件要求密封或者加写标记的投标文件，招标机构将拒收。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开标时间和地点</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开标时间：同投标截止时间</w:t>
            </w:r>
          </w:p>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开标地点：同投标文件递交地点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评标委员会的组建</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500" w:lineRule="exact"/>
              <w:rPr>
                <w:rFonts w:hint="eastAsia" w:ascii="宋体" w:hAnsi="宋体" w:cs="宋体"/>
                <w:color w:val="000000"/>
                <w:sz w:val="24"/>
                <w:szCs w:val="24"/>
                <w:highlight w:val="none"/>
              </w:rPr>
            </w:pPr>
            <w:r>
              <w:rPr>
                <w:rFonts w:hint="eastAsia" w:ascii="宋体" w:hAnsi="宋体" w:cs="宋体"/>
                <w:color w:val="000000"/>
                <w:sz w:val="24"/>
                <w:szCs w:val="24"/>
                <w:highlight w:val="none"/>
              </w:rPr>
              <w:t>评标委员会构成：</w:t>
            </w:r>
            <w:bookmarkStart w:id="36" w:name="EB5d4c3e910a364cdd899279184532e6c6"/>
            <w:bookmarkEnd w:id="36"/>
            <w:r>
              <w:rPr>
                <w:rFonts w:hint="eastAsia" w:ascii="宋体" w:hAnsi="宋体" w:cs="宋体"/>
                <w:b/>
                <w:color w:val="000000"/>
                <w:sz w:val="24"/>
                <w:szCs w:val="24"/>
                <w:highlight w:val="none"/>
              </w:rPr>
              <w:t>5</w:t>
            </w:r>
            <w:r>
              <w:rPr>
                <w:rFonts w:hint="eastAsia" w:ascii="宋体" w:hAnsi="宋体" w:cs="宋体"/>
                <w:color w:val="000000"/>
                <w:sz w:val="24"/>
                <w:szCs w:val="24"/>
                <w:highlight w:val="none"/>
              </w:rPr>
              <w:t>人，其中招标人代表</w:t>
            </w:r>
            <w:bookmarkStart w:id="37" w:name="EB7ce27ab0d6d049f6b393e776ae6287f1"/>
            <w:bookmarkEnd w:id="37"/>
            <w:r>
              <w:rPr>
                <w:rFonts w:hint="eastAsia" w:ascii="宋体" w:hAnsi="宋体" w:cs="宋体"/>
                <w:b/>
                <w:color w:val="000000"/>
                <w:sz w:val="24"/>
                <w:szCs w:val="24"/>
                <w:highlight w:val="none"/>
              </w:rPr>
              <w:t>1</w:t>
            </w:r>
            <w:r>
              <w:rPr>
                <w:rFonts w:hint="eastAsia" w:ascii="宋体" w:hAnsi="宋体" w:cs="宋体"/>
                <w:color w:val="000000"/>
                <w:sz w:val="24"/>
                <w:szCs w:val="24"/>
                <w:highlight w:val="none"/>
              </w:rPr>
              <w:t>人，专家</w:t>
            </w:r>
            <w:bookmarkStart w:id="38" w:name="EB8fc5fa365912403981a97d259d684270"/>
            <w:bookmarkEnd w:id="38"/>
            <w:r>
              <w:rPr>
                <w:rFonts w:hint="eastAsia" w:ascii="宋体" w:hAnsi="宋体" w:cs="宋体"/>
                <w:b/>
                <w:color w:val="000000"/>
                <w:sz w:val="24"/>
                <w:szCs w:val="24"/>
                <w:highlight w:val="none"/>
              </w:rPr>
              <w:t>4</w:t>
            </w:r>
            <w:r>
              <w:rPr>
                <w:rFonts w:hint="eastAsia" w:ascii="宋体" w:hAnsi="宋体" w:cs="宋体"/>
                <w:color w:val="000000"/>
                <w:sz w:val="24"/>
                <w:szCs w:val="24"/>
                <w:highlight w:val="none"/>
              </w:rPr>
              <w:t>人；</w:t>
            </w:r>
          </w:p>
          <w:p>
            <w:pPr>
              <w:spacing w:line="400" w:lineRule="exact"/>
              <w:rPr>
                <w:rFonts w:hint="eastAsia" w:asciiTheme="majorEastAsia" w:hAnsiTheme="majorEastAsia" w:eastAsiaTheme="majorEastAsia" w:cstheme="majorEastAsia"/>
                <w:sz w:val="24"/>
                <w:szCs w:val="24"/>
              </w:rPr>
            </w:pPr>
            <w:r>
              <w:rPr>
                <w:rFonts w:hint="eastAsia" w:ascii="宋体" w:hAnsi="宋体" w:cs="宋体"/>
                <w:color w:val="000000"/>
                <w:sz w:val="24"/>
                <w:szCs w:val="24"/>
                <w:highlight w:val="none"/>
              </w:rPr>
              <w:t>评标专家确定方式：</w:t>
            </w:r>
            <w:r>
              <w:rPr>
                <w:rFonts w:hint="eastAsia" w:ascii="宋体" w:hAnsi="宋体" w:cs="宋体"/>
                <w:sz w:val="24"/>
                <w:szCs w:val="24"/>
                <w:highlight w:val="none"/>
              </w:rPr>
              <w:t>从宜昌交通旅游产业发展集团有限公司招标采购平台专家库中随机抽取产生。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中标结果公告 媒介</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b/>
                <w:sz w:val="24"/>
                <w:szCs w:val="24"/>
              </w:rPr>
            </w:pPr>
            <w:r>
              <w:rPr>
                <w:rFonts w:hint="eastAsia" w:ascii="宋体" w:hAnsi="宋体" w:cs="宋体"/>
                <w:b w:val="0"/>
                <w:bCs/>
                <w:color w:val="000000"/>
                <w:sz w:val="24"/>
                <w:szCs w:val="24"/>
                <w:highlight w:val="none"/>
              </w:rPr>
              <w:t>同招标公告发布媒体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7.2.1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是否授权评标委员会确定中标人</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u w:val="single"/>
              </w:rPr>
            </w:pPr>
            <w:bookmarkStart w:id="39" w:name="EB7850533e4d7f49aa8b2af2016d15a4b4"/>
            <w:bookmarkEnd w:id="39"/>
            <w:r>
              <w:rPr>
                <w:rFonts w:hint="eastAsia" w:asciiTheme="majorEastAsia" w:hAnsiTheme="majorEastAsia" w:eastAsiaTheme="majorEastAsia" w:cstheme="majorEastAsia"/>
                <w:sz w:val="24"/>
                <w:szCs w:val="24"/>
              </w:rPr>
              <w:t>推荐的中标候选人数：3家，若不足3家，则按相应家数推荐。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7.5.1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履约保证金</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w:t>
            </w:r>
          </w:p>
        </w:tc>
        <w:tc>
          <w:tcPr>
            <w:tcW w:w="807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多标段投标</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pacing w:val="4"/>
                <w:kern w:val="0"/>
                <w:sz w:val="24"/>
                <w:szCs w:val="24"/>
                <w:lang w:eastAsia="zh-CN"/>
              </w:rPr>
            </w:pP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kern w:val="0"/>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知识产权</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解释权</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10.4</w:t>
            </w:r>
          </w:p>
        </w:tc>
        <w:tc>
          <w:tcPr>
            <w:tcW w:w="807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招标人补充的其他内容</w:t>
            </w:r>
          </w:p>
        </w:tc>
      </w:tr>
    </w:tbl>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bookmarkStart w:id="40" w:name="_Toc12408"/>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投标人须知正文部分</w:t>
      </w:r>
      <w:bookmarkEnd w:id="6"/>
      <w:bookmarkEnd w:id="7"/>
      <w:bookmarkEnd w:id="40"/>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41" w:name="_Toc2439"/>
      <w:bookmarkStart w:id="42" w:name="_Toc4056"/>
      <w:bookmarkStart w:id="43" w:name="_Toc522293506"/>
      <w:r>
        <w:rPr>
          <w:rFonts w:hint="eastAsia" w:asciiTheme="majorEastAsia" w:hAnsiTheme="majorEastAsia" w:eastAsiaTheme="majorEastAsia" w:cstheme="majorEastAsia"/>
          <w:sz w:val="24"/>
          <w:szCs w:val="24"/>
        </w:rPr>
        <w:t>1. 总则</w:t>
      </w:r>
      <w:bookmarkEnd w:id="41"/>
      <w:bookmarkEnd w:id="42"/>
      <w:bookmarkEnd w:id="43"/>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44" w:name="_Toc18603036"/>
      <w:bookmarkStart w:id="45" w:name="_Toc29004"/>
      <w:r>
        <w:rPr>
          <w:rFonts w:hint="eastAsia" w:asciiTheme="majorEastAsia" w:hAnsiTheme="majorEastAsia" w:eastAsiaTheme="majorEastAsia" w:cstheme="majorEastAsia"/>
        </w:rPr>
        <w:t>1.1 项目概况</w:t>
      </w:r>
      <w:bookmarkEnd w:id="44"/>
      <w:bookmarkEnd w:id="4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1.1.1 根据《中华人民共和国招标投标法》、《中华人民共和国招标投标法实施条例》等有关法律、法规和规章的规定，本招标项目已具备招标条件，现对本标段货物采购进行公开招标。</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1.1.2 本招标项目招标人：见投标人须知前附表。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1.1.3 本标段招标代理机构：见投标人须知前附表。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1.1.4 本招标标段名称：见投标人须知前附表。</w:t>
      </w:r>
    </w:p>
    <w:p>
      <w:pPr>
        <w:pStyle w:val="5"/>
        <w:keepNext w:val="0"/>
        <w:keepLines w:val="0"/>
        <w:spacing w:after="0" w:line="440" w:lineRule="exact"/>
        <w:ind w:firstLine="480" w:firstLineChars="200"/>
        <w:rPr>
          <w:rFonts w:hint="eastAsia" w:asciiTheme="majorEastAsia" w:hAnsiTheme="majorEastAsia" w:eastAsiaTheme="majorEastAsia" w:cstheme="majorEastAsia"/>
          <w:b w:val="0"/>
          <w:bCs w:val="0"/>
        </w:rPr>
      </w:pPr>
      <w:bookmarkStart w:id="46" w:name="_Toc18603037"/>
      <w:bookmarkStart w:id="47" w:name="_Toc25123"/>
      <w:r>
        <w:rPr>
          <w:rFonts w:hint="eastAsia" w:asciiTheme="majorEastAsia" w:hAnsiTheme="majorEastAsia" w:eastAsiaTheme="majorEastAsia" w:cstheme="majorEastAsia"/>
          <w:b w:val="0"/>
          <w:bCs w:val="0"/>
        </w:rPr>
        <w:t>1.1.5 本标段服务地点：见投标人须知前附表。</w:t>
      </w:r>
      <w:bookmarkEnd w:id="46"/>
      <w:bookmarkEnd w:id="47"/>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48" w:name="_Toc18603038"/>
      <w:bookmarkStart w:id="49" w:name="_Toc21557"/>
      <w:r>
        <w:rPr>
          <w:rFonts w:hint="eastAsia" w:asciiTheme="majorEastAsia" w:hAnsiTheme="majorEastAsia" w:eastAsiaTheme="majorEastAsia" w:cstheme="majorEastAsia"/>
        </w:rPr>
        <w:t>1.2 资金来源和落实情况</w:t>
      </w:r>
      <w:bookmarkEnd w:id="48"/>
      <w:bookmarkEnd w:id="49"/>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1.2.1 本招标标段的资金来源：见投标人须知前附表。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1.2.2 本招标标段的资金落实情况：见投标人须知前附表。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0" w:name="_Toc25516"/>
      <w:bookmarkStart w:id="51" w:name="_Toc18603039"/>
      <w:r>
        <w:rPr>
          <w:rFonts w:hint="eastAsia" w:asciiTheme="majorEastAsia" w:hAnsiTheme="majorEastAsia" w:eastAsiaTheme="majorEastAsia" w:cstheme="majorEastAsia"/>
        </w:rPr>
        <w:t>1.3供货范围、供货时间、资格审查方式和招标方式</w:t>
      </w:r>
      <w:bookmarkEnd w:id="50"/>
      <w:bookmarkEnd w:id="51"/>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1.3.1 本次供货范围：见投标人须知前附表。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1.3.2 本标段的服务时间：见投标人须知前附表。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1.3.3 本标段的资格审查方式：见投标人须知前附表。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1.3.4 本标段的招标方式：见投标人须知前附表。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2" w:name="_Toc18603040"/>
      <w:bookmarkStart w:id="53" w:name="_Toc10735"/>
      <w:r>
        <w:rPr>
          <w:rFonts w:hint="eastAsia" w:asciiTheme="majorEastAsia" w:hAnsiTheme="majorEastAsia" w:eastAsiaTheme="majorEastAsia" w:cstheme="majorEastAsia"/>
        </w:rPr>
        <w:t>1.4 投标人资格要求</w:t>
      </w:r>
      <w:bookmarkEnd w:id="52"/>
      <w:bookmarkEnd w:id="53"/>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1.4.1 投标人的资质条件、能力和信誉应符合投标人须知前附表的要求。</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1.4.2 投标人须知前附表规定接受联合体投标的（如有），除应符合本章第1.4.1项和投标人须知前附表的要求外，还应遵守以下规定：</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（1）联合体各方必须按招标文件提供的格式签订联合体协议书，明确联合体牵头人和各方的权利义务；</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（2）两个以上资质类别相同但资质等级不同且分工相同的成员组成的联合体申请人，以联合体成员中资质等级较低者的资质等级作为联合体申请人的资质等级。</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两个以上资质类别不同的成员组成的联合体，按照联合体协议中约定的内部分工分别认定联合体申请人的资质类别和等级，不承担联合体协议约定由其他成员承担的专业工程的成员，其相应的专业资质和等级不参与联合体申请人的资质和等级的认定。</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（4）联合体各方不得再以自己名义单独或加入其他联合体在同一标段中参加资格预审。</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1.4.3 投标人不得存在下列情形之一：</w:t>
      </w:r>
    </w:p>
    <w:p>
      <w:pPr>
        <w:spacing w:line="440" w:lineRule="exact"/>
        <w:ind w:firstLine="480" w:firstLineChars="200"/>
        <w:jc w:val="left"/>
        <w:rPr>
          <w:rFonts w:hint="eastAsia" w:asciiTheme="majorEastAsia" w:hAnsiTheme="majorEastAsia" w:eastAsiaTheme="majorEastAsia" w:cstheme="majorEastAsia"/>
          <w:sz w:val="24"/>
          <w:szCs w:val="24"/>
        </w:rPr>
      </w:pPr>
      <w:bookmarkStart w:id="54" w:name="EB29c46255ef7f4730ad13832f74811d13"/>
      <w:r>
        <w:rPr>
          <w:rFonts w:hint="eastAsia" w:asciiTheme="majorEastAsia" w:hAnsiTheme="majorEastAsia" w:eastAsiaTheme="majorEastAsia" w:cstheme="majorEastAsia"/>
          <w:sz w:val="24"/>
          <w:szCs w:val="24"/>
        </w:rPr>
        <w:t xml:space="preserve">（1）为招标人不具有独立法人资格的附属机构（单位）；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（2）为本标段前期准备提供设计或咨询服务的，但设计施工总承包的除外；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（3）为本标段的监理人；</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（4）为本标段的代建人；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（5）为本标段提供招标代理服务的；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（6）与本标段的监理人或代建人或招标代理机构同为一个法定代表人的；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（7）与本标段的监理人或代建人或招标代理机构相互控股或参股的；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（8）与本标段的监理人或代建人或招标代理机构相互任职或工作的；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（9）被责令停业的；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（10）被暂停或取消投标资格且处于有效期内的；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（11）财产被接管或冻结的；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（12）在最近三年内有骗取中标或严重违约或重大工程质量问题的。</w:t>
      </w:r>
      <w:bookmarkEnd w:id="5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1.4.4 投标人存在下列情形之一的，相关投标均无效：</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（1）与招标人存在利害关系影响招标公正性的；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（2）法定代表人为同一人或者存在控股、管理关系的不同单位，参加同一标段投标的，共同组成联合体投标的除外。</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5" w:name="_Toc18603041"/>
      <w:bookmarkStart w:id="56" w:name="_Toc18465"/>
      <w:r>
        <w:rPr>
          <w:rFonts w:hint="eastAsia" w:asciiTheme="majorEastAsia" w:hAnsiTheme="majorEastAsia" w:eastAsiaTheme="majorEastAsia" w:cstheme="majorEastAsia"/>
        </w:rPr>
        <w:t>1.5 费用承担</w:t>
      </w:r>
      <w:bookmarkEnd w:id="55"/>
      <w:bookmarkEnd w:id="56"/>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投标人准备和参加投标活动发生的费用自理。</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7" w:name="_Toc28106"/>
      <w:bookmarkStart w:id="58" w:name="_Toc18603042"/>
      <w:r>
        <w:rPr>
          <w:rFonts w:hint="eastAsia" w:asciiTheme="majorEastAsia" w:hAnsiTheme="majorEastAsia" w:eastAsiaTheme="majorEastAsia" w:cstheme="majorEastAsia"/>
        </w:rPr>
        <w:t>1.6 保密</w:t>
      </w:r>
      <w:bookmarkEnd w:id="57"/>
      <w:bookmarkEnd w:id="58"/>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参与招标投标活动的各方应对招标文件和投标文件中的商业和技术等秘密保密，违者应对由此造成的后果承担法律责任。 </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9" w:name="_Toc18603043"/>
      <w:bookmarkStart w:id="60" w:name="_Toc17026"/>
      <w:r>
        <w:rPr>
          <w:rFonts w:hint="eastAsia" w:asciiTheme="majorEastAsia" w:hAnsiTheme="majorEastAsia" w:eastAsiaTheme="majorEastAsia" w:cstheme="majorEastAsia"/>
        </w:rPr>
        <w:t>1.7 语言文字</w:t>
      </w:r>
      <w:bookmarkEnd w:id="59"/>
      <w:bookmarkEnd w:id="60"/>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除专用术语外，与招标投标有关的语言均使用中文，必要时专用术语应附有中文注释。</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1" w:name="_Toc24560"/>
      <w:bookmarkStart w:id="62" w:name="_Toc18603044"/>
      <w:r>
        <w:rPr>
          <w:rFonts w:hint="eastAsia" w:asciiTheme="majorEastAsia" w:hAnsiTheme="majorEastAsia" w:eastAsiaTheme="majorEastAsia" w:cstheme="majorEastAsia"/>
        </w:rPr>
        <w:t>1.8 计量单位</w:t>
      </w:r>
      <w:bookmarkEnd w:id="61"/>
      <w:bookmarkEnd w:id="6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所有计量均采用中华人民共和国法定计量单位。</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3" w:name="_Toc18603045"/>
      <w:bookmarkStart w:id="64" w:name="_Toc11990"/>
      <w:r>
        <w:rPr>
          <w:rFonts w:hint="eastAsia" w:asciiTheme="majorEastAsia" w:hAnsiTheme="majorEastAsia" w:eastAsiaTheme="majorEastAsia" w:cstheme="majorEastAsia"/>
        </w:rPr>
        <w:t>1.9 踏勘现场</w:t>
      </w:r>
      <w:bookmarkEnd w:id="63"/>
      <w:bookmarkEnd w:id="6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1.9.1 投标人须知前附表规定组织踏勘现场的，招标人按投标人须知前附表规定的时间、地点组织投标人踏勘项目现场。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1.9.2 投标人踏勘现场发生的费用自理。</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1.9.3 除招标人的原因外，投标人自行负责在踏勘现场中所发生的人员伤亡和财产损失。</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1.9.4 招标人在踏勘现场中介绍的工程场地和相关的周边环境情况，供投标人在编制投标文件时参考，招标人不对投标人据此作出的判断和决策负责。</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5" w:name="_Toc18603046"/>
      <w:bookmarkStart w:id="66" w:name="_Toc7879"/>
      <w:r>
        <w:rPr>
          <w:rFonts w:hint="eastAsia" w:asciiTheme="majorEastAsia" w:hAnsiTheme="majorEastAsia" w:eastAsiaTheme="majorEastAsia" w:cstheme="majorEastAsia"/>
        </w:rPr>
        <w:t>1.10 投标预备会</w:t>
      </w:r>
      <w:bookmarkEnd w:id="65"/>
      <w:bookmarkEnd w:id="66"/>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1.10.1 投标人须知前附表规定召开投标预备会的，招标人按照投标人须知前附表规定的时间和地点召开投标预备会，澄清投标人提出的问题。</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1.10.2 投标预备会后，招标人按投标人须知表2.2项规定的时间和方式发布澄清或修改文件。</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7" w:name="_Toc633"/>
      <w:bookmarkStart w:id="68" w:name="_Toc18603047"/>
      <w:r>
        <w:rPr>
          <w:rFonts w:hint="eastAsia" w:asciiTheme="majorEastAsia" w:hAnsiTheme="majorEastAsia" w:eastAsiaTheme="majorEastAsia" w:cstheme="majorEastAsia"/>
        </w:rPr>
        <w:t>1.11 分包</w:t>
      </w:r>
      <w:bookmarkEnd w:id="67"/>
      <w:bookmarkEnd w:id="68"/>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在投标人须知前附表规定允许分包的，分包的内容，分包金额，接受分包的第三人资质要求见投标人须知前附表。具体条款详见合同“合同专用”条款。</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9" w:name="_Toc8322"/>
      <w:bookmarkStart w:id="70" w:name="_Toc18603048"/>
      <w:r>
        <w:rPr>
          <w:rFonts w:hint="eastAsia" w:asciiTheme="majorEastAsia" w:hAnsiTheme="majorEastAsia" w:eastAsiaTheme="majorEastAsia" w:cstheme="majorEastAsia"/>
        </w:rPr>
        <w:t>1.12 偏离</w:t>
      </w:r>
      <w:bookmarkEnd w:id="69"/>
      <w:bookmarkEnd w:id="70"/>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本项目不允许偏离。</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71" w:name="_Toc32758"/>
      <w:bookmarkStart w:id="72" w:name="_Toc2379"/>
      <w:bookmarkStart w:id="73" w:name="_Toc522293507"/>
      <w:r>
        <w:rPr>
          <w:rFonts w:hint="eastAsia" w:asciiTheme="majorEastAsia" w:hAnsiTheme="majorEastAsia" w:eastAsiaTheme="majorEastAsia" w:cstheme="majorEastAsia"/>
          <w:sz w:val="24"/>
          <w:szCs w:val="24"/>
        </w:rPr>
        <w:t>2. 招标文件</w:t>
      </w:r>
      <w:bookmarkEnd w:id="71"/>
      <w:bookmarkEnd w:id="72"/>
      <w:bookmarkEnd w:id="73"/>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74" w:name="_Toc13856"/>
      <w:bookmarkStart w:id="75" w:name="_Toc18603050"/>
      <w:r>
        <w:rPr>
          <w:rFonts w:hint="eastAsia" w:asciiTheme="majorEastAsia" w:hAnsiTheme="majorEastAsia" w:eastAsiaTheme="majorEastAsia" w:cstheme="majorEastAsia"/>
        </w:rPr>
        <w:t>2.1 招标文件的组成</w:t>
      </w:r>
      <w:bookmarkEnd w:id="74"/>
      <w:bookmarkEnd w:id="7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本招标文件包括：</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（1）招标公告；</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（2）投标人须知；</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（3）评标办法；</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（4）合同条款及格式；</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（5）商务及技术要求；</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（6）相关技术资料；</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（7）投标文件格式；</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（8）投标人须知前附表规定的其他材料。</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根据本章第1.10款和第2.2款对招标文件所作的澄清、修改，构成招标文件的组成部分。</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76" w:name="_Toc21123"/>
      <w:bookmarkStart w:id="77" w:name="_Toc18603051"/>
      <w:r>
        <w:rPr>
          <w:rFonts w:hint="eastAsia" w:asciiTheme="majorEastAsia" w:hAnsiTheme="majorEastAsia" w:eastAsiaTheme="majorEastAsia" w:cstheme="majorEastAsia"/>
        </w:rPr>
        <w:t>2.2 招标文件的澄清和修改</w:t>
      </w:r>
      <w:bookmarkEnd w:id="76"/>
      <w:bookmarkEnd w:id="77"/>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2.2.1 投标人应仔细阅读和检查招标文件的全部内容。如有疑问，应在申请人须知前附表第2.2项规定的提问截止时间前提问，要求招标机构对招标文件予以澄清。</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2.2.2 无论是招标机构根据需要主动对招标文件进行必要的澄清或修改，或是根据投标人的要求对招标文件做出澄清或修改，澄清或修改的内容可能影响投标文件编制的，招标机构应于投标人须知表4.2.1项规定的投标截止时间15日前发布。</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澄清或修改通知发出的时间距投标人须知前附表第4.2.1项规定的投标截止时间不足15日，并且澄清或修改的内容影响投标文件编制的，相应延长投标截止时间。</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2.2.3 澄清或修改文件作为招标文件的组成部分，对投标人起同等约束作用。投标人应注意及时浏览项目发布的澄清和修改通知，因投标人原因未及时获知澄清、修改内容而导致的任何后果将由投标人自行承担。</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2.2.4 任何口头上的澄清、修改一律视为无效。当招标文件、澄清或修改内容相互矛盾时，以最后发出的文件为准。</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78" w:name="_Toc19297"/>
      <w:bookmarkStart w:id="79" w:name="_Toc18603052"/>
      <w:r>
        <w:rPr>
          <w:rFonts w:hint="eastAsia" w:asciiTheme="majorEastAsia" w:hAnsiTheme="majorEastAsia" w:eastAsiaTheme="majorEastAsia" w:cstheme="majorEastAsia"/>
        </w:rPr>
        <w:t>2.3 对招标文件的异议</w:t>
      </w:r>
      <w:bookmarkEnd w:id="78"/>
      <w:bookmarkEnd w:id="79"/>
    </w:p>
    <w:p>
      <w:pPr>
        <w:spacing w:line="440" w:lineRule="exact"/>
        <w:ind w:firstLine="480" w:firstLineChars="200"/>
        <w:jc w:val="left"/>
        <w:rPr>
          <w:rFonts w:hint="eastAsia" w:asciiTheme="majorEastAsia" w:hAnsiTheme="majorEastAsia" w:eastAsiaTheme="majorEastAsia" w:cstheme="majorEastAsia"/>
          <w:sz w:val="24"/>
          <w:szCs w:val="24"/>
        </w:rPr>
      </w:pPr>
      <w:bookmarkStart w:id="80" w:name="EB637a2fd476d041a5b3c9c6ab288b697a"/>
      <w:r>
        <w:rPr>
          <w:rFonts w:hint="eastAsia" w:asciiTheme="majorEastAsia" w:hAnsiTheme="majorEastAsia" w:eastAsiaTheme="majorEastAsia" w:cstheme="majorEastAsia"/>
          <w:sz w:val="24"/>
          <w:szCs w:val="24"/>
        </w:rPr>
        <w:t>2.3.1 投标人或者其他利害关系人对招标文件（包括对招标文件澄清和修改的内容）有异议的，应当在投标人须知前附表4.2.1项规定的投标截止时间10日前提出。招标人自收到异议之日起3日内作出答复；作出答复前，招标人将暂停招标投标活动。逾期提出的，招标人可不予受理。</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本处所称异议是指投标人或者其他利害关系人认为招标文件的内容违反法律、法规、规章的强制性规定，违反公开、公平、公正和诚实信用原则，影响投标人投标而向招标人提出的异议。</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2.3.2 招标人对异议的答复构成对招标文件澄清或者修改的，招标机构将按照本章第2.2款规定办理。</w:t>
      </w:r>
    </w:p>
    <w:bookmarkEnd w:id="80"/>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81" w:name="_Toc5793"/>
      <w:bookmarkStart w:id="82" w:name="_Toc522293508"/>
      <w:bookmarkStart w:id="83" w:name="_Toc27113"/>
      <w:r>
        <w:rPr>
          <w:rFonts w:hint="eastAsia" w:asciiTheme="majorEastAsia" w:hAnsiTheme="majorEastAsia" w:eastAsiaTheme="majorEastAsia" w:cstheme="majorEastAsia"/>
          <w:sz w:val="24"/>
          <w:szCs w:val="24"/>
        </w:rPr>
        <w:t>3. 投标文件</w:t>
      </w:r>
      <w:bookmarkEnd w:id="81"/>
      <w:bookmarkEnd w:id="82"/>
      <w:bookmarkEnd w:id="83"/>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84" w:name="_Toc29571"/>
      <w:bookmarkStart w:id="85" w:name="_Toc18603054"/>
      <w:r>
        <w:rPr>
          <w:rFonts w:hint="eastAsia" w:asciiTheme="majorEastAsia" w:hAnsiTheme="majorEastAsia" w:eastAsiaTheme="majorEastAsia" w:cstheme="majorEastAsia"/>
        </w:rPr>
        <w:t>3.1 投标文件的组成</w:t>
      </w:r>
      <w:bookmarkEnd w:id="84"/>
      <w:bookmarkEnd w:id="8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3.1.1 投标文件应包括但不限于下列内容（详细内容见第七章“投标文件格式”）：</w:t>
      </w:r>
    </w:p>
    <w:p>
      <w:pPr>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封面、投标函、商务文件、技术文件。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3.1.2 投标人须知前附表规定不接受联合体投标的，或投标人没有组成联合体的，投标文件中不包括联合体协议书。 </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86" w:name="_Toc16489"/>
      <w:bookmarkStart w:id="87" w:name="_Toc18603055"/>
      <w:r>
        <w:rPr>
          <w:rFonts w:hint="eastAsia" w:asciiTheme="majorEastAsia" w:hAnsiTheme="majorEastAsia" w:eastAsiaTheme="majorEastAsia" w:cstheme="majorEastAsia"/>
        </w:rPr>
        <w:t>3.2 投标报价</w:t>
      </w:r>
      <w:bookmarkEnd w:id="86"/>
      <w:bookmarkEnd w:id="87"/>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3.2.1投标人应按照第五章“商务及技术要求”规定的内容进行报价。并按第七章“投标文件格式”确定的格式报价。投标总价应为优惠后的最终报价，任何报价上的优惠应体现在报价中，国家规定的各项税费不得优惠。投标总价中不得包含招标文件要求以外的内容，否则，在评标时不予核减。投标总价中也不得缺漏招标文件所要求的内容，否则，在评标时将被视为已包含在投标总价中。</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3.2.2投标人所报的投标价在合同执行过程中是固定不变的，不得以任何理由予以变更。</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3.2.3投标人的投标报价高于本项目最高限价的评标委员会否决其投标。</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88" w:name="_Toc18603056"/>
      <w:bookmarkStart w:id="89" w:name="_Toc4290"/>
      <w:r>
        <w:rPr>
          <w:rFonts w:hint="eastAsia" w:asciiTheme="majorEastAsia" w:hAnsiTheme="majorEastAsia" w:eastAsiaTheme="majorEastAsia" w:cstheme="majorEastAsia"/>
        </w:rPr>
        <w:t>3.3 投标有效期</w:t>
      </w:r>
      <w:bookmarkEnd w:id="88"/>
      <w:bookmarkEnd w:id="89"/>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3.3.1 在投标人须知前附表规定的投标有效期内，投标人不得要求撤销或修改其投标文件。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3.3.2 出现特殊情况需要延长投标有效期的，招标人以邮箱形式通知所有投标人延长投标有效期。投标人同意延长的，应相应延长其投标保证金的有效期。</w:t>
      </w:r>
    </w:p>
    <w:p>
      <w:pPr>
        <w:spacing w:line="440" w:lineRule="exact"/>
        <w:ind w:firstLine="482" w:firstLineChars="200"/>
        <w:jc w:val="left"/>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3.4 投标保证金</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本项目不缴纳投标保证金。</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90" w:name="_Toc5515"/>
      <w:bookmarkStart w:id="91" w:name="_Toc18603057"/>
      <w:r>
        <w:rPr>
          <w:rFonts w:hint="eastAsia" w:asciiTheme="majorEastAsia" w:hAnsiTheme="majorEastAsia" w:eastAsiaTheme="majorEastAsia" w:cstheme="majorEastAsia"/>
        </w:rPr>
        <w:t>3.5 资格审查资料</w:t>
      </w:r>
      <w:bookmarkEnd w:id="90"/>
      <w:bookmarkEnd w:id="91"/>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3.5.1 投标人应按招标文件第七章“投标文件格式”中规定的内容填写，并按具体要求提供相关证件及证明材料。</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3.5.2 投标人须知前附表第1.4.2项规定接受联合体投标的，本章第3.5.1项规定的表格和资料应包括联合体各方相关情况。</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92" w:name="_Toc18603058"/>
      <w:bookmarkStart w:id="93" w:name="_Toc5353"/>
      <w:r>
        <w:rPr>
          <w:rFonts w:hint="eastAsia" w:asciiTheme="majorEastAsia" w:hAnsiTheme="majorEastAsia" w:eastAsiaTheme="majorEastAsia" w:cstheme="majorEastAsia"/>
        </w:rPr>
        <w:t>3.6 备选投标方案</w:t>
      </w:r>
      <w:bookmarkEnd w:id="92"/>
      <w:bookmarkEnd w:id="93"/>
    </w:p>
    <w:p>
      <w:pPr>
        <w:pStyle w:val="5"/>
        <w:keepNext w:val="0"/>
        <w:keepLines w:val="0"/>
        <w:spacing w:after="0" w:line="440" w:lineRule="exact"/>
        <w:ind w:firstLine="480" w:firstLineChars="200"/>
        <w:rPr>
          <w:rFonts w:hint="eastAsia" w:asciiTheme="majorEastAsia" w:hAnsiTheme="majorEastAsia" w:eastAsiaTheme="majorEastAsia" w:cstheme="majorEastAsia"/>
          <w:b w:val="0"/>
          <w:bCs w:val="0"/>
        </w:rPr>
      </w:pPr>
      <w:bookmarkStart w:id="94" w:name="_Toc24592"/>
      <w:bookmarkStart w:id="95" w:name="_Toc39149207"/>
      <w:bookmarkStart w:id="96" w:name="_Toc18603059"/>
      <w:r>
        <w:rPr>
          <w:rFonts w:hint="eastAsia" w:asciiTheme="majorEastAsia" w:hAnsiTheme="majorEastAsia" w:eastAsiaTheme="majorEastAsia" w:cstheme="majorEastAsia"/>
          <w:b w:val="0"/>
          <w:bCs w:val="0"/>
        </w:rPr>
        <w:t>除投标人须知前附表另有规定外，投标人不得递交备选投标方案。允许投标人递交备选投标方案的，只有中标人所递交的备选投标方案方可予以考虑。评标委员会认为中标候选人的备选投标方案优于其按照招标文件要求编制的投标方案的，该中标候选人被确定中标人后，招标人可以接受该备选投标方案。</w:t>
      </w:r>
      <w:bookmarkEnd w:id="94"/>
      <w:bookmarkEnd w:id="95"/>
      <w:bookmarkEnd w:id="96"/>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97" w:name="_Toc18603060"/>
      <w:bookmarkStart w:id="98" w:name="_Toc2949"/>
      <w:r>
        <w:rPr>
          <w:rFonts w:hint="eastAsia" w:asciiTheme="majorEastAsia" w:hAnsiTheme="majorEastAsia" w:eastAsiaTheme="majorEastAsia" w:cstheme="majorEastAsia"/>
        </w:rPr>
        <w:t>3.7 投标文件的编制</w:t>
      </w:r>
      <w:bookmarkEnd w:id="97"/>
      <w:bookmarkEnd w:id="98"/>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3.7.1 投标文件应按第七章“投标文件格式”进行编写，如有必要，可以增加附页，作为投标文件的组成部分。其中，投标函附录在满足招标文件实质性要求的基础上，可以提出比招标文件要求更有利于招标人的承诺。</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3.7.2 投标文件应当对招标文件有关服务时间、投标有效期、商务及技术要求、供货范围等实质性内容作出响应。</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3.7.3 纸质版投标文件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第七章投标文件格式中要求签章的地方，投标人均应签章。凡第七章投标文件格式中未明确要求投标人签章的地方，无需签章。</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3.7.4 投标文件正本一份,副本份数见投标人须知前附表。正本和副本的封面上应清楚地标记“正本”或“副本”的字样。当副本和正本不一致时，以正本为准。</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3.7.5 投标文件的正本与副本应分别装订成册，（本项目投标文件不得采用活页装订，应采用胶包装订方式）。</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3.7.6 电子投标文件制作（如有要求）</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（1）电子投标文件为PDF格式，刻录至光盘或U盘中随纸质版文件一同密封提交。</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（2）电子投标文件中的证明资料的“复印件”均为“原件彩色扫描件”。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（3）第七章投标文件格式中要求签字或盖章的地方，投标人均应签字或盖章。凡第七章投标文件格式中未明确要求投标人签章的地方，无需签章。</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（4）如招标人需对招标文件进行澄清、修改或补充，而发出电子招标澄清修改文件时，则投标人应以招标人最后发布的电子招标澄清修改文件制作电子投标文件。</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99" w:name="_Toc26714"/>
      <w:bookmarkStart w:id="100" w:name="_Toc12544"/>
      <w:r>
        <w:rPr>
          <w:rFonts w:hint="eastAsia" w:asciiTheme="majorEastAsia" w:hAnsiTheme="majorEastAsia" w:eastAsiaTheme="majorEastAsia" w:cstheme="majorEastAsia"/>
          <w:sz w:val="24"/>
          <w:szCs w:val="24"/>
        </w:rPr>
        <w:t>4. 投标</w:t>
      </w:r>
      <w:bookmarkEnd w:id="99"/>
      <w:bookmarkEnd w:id="100"/>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01" w:name="_Toc18603062"/>
      <w:bookmarkStart w:id="102" w:name="_Toc25196"/>
      <w:r>
        <w:rPr>
          <w:rFonts w:hint="eastAsia" w:asciiTheme="majorEastAsia" w:hAnsiTheme="majorEastAsia" w:eastAsiaTheme="majorEastAsia" w:cstheme="majorEastAsia"/>
        </w:rPr>
        <w:t>4.1 投标文件的密封和标识</w:t>
      </w:r>
      <w:bookmarkEnd w:id="101"/>
      <w:bookmarkEnd w:id="10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4.1.1 电子投标文件（如有要求）</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投标人将电子投标文件刻录至光盘或U盘中随纸质版文件一同密封提交。</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4.1.2纸质版投标文件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必须将纸质版投标文件密封提交，可将投标文件统一密封或将正本和每份副本分别密封，所有投标文件的密封袋的封口处应加盖投标人印章。投标人应在封袋上正确标明“正本”或“副本”，所有封袋上都应写明招标人名称、项目名称、项目编号以及投标人的名称，并注明开标时间前不得开封。</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4.1.3 未按本章第4.1.1项或第4.1.2项要求密封和加写标记的投标文件，招标人应予拒收。</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03" w:name="_Toc18603063"/>
      <w:bookmarkStart w:id="104" w:name="_Toc30714"/>
      <w:r>
        <w:rPr>
          <w:rFonts w:hint="eastAsia" w:asciiTheme="majorEastAsia" w:hAnsiTheme="majorEastAsia" w:eastAsiaTheme="majorEastAsia" w:cstheme="majorEastAsia"/>
        </w:rPr>
        <w:t>4.2 投标文件的递交</w:t>
      </w:r>
      <w:bookmarkEnd w:id="103"/>
      <w:bookmarkEnd w:id="10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4.2.1 投标人递交投标文件的截止时间（投标截止时间）：见投标人须知前附表4.2.1项。</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4.2.2 招标人可以修改通知的方式，酌情延长递交投标文件的截止日期。在此情况下，招标人与投标人以前的投标截止期方面的全部权力、责任和义务，将适用于延长后新的投标截止时间。</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4.2.3 超过投标截止时间送达的投标文件将被拒绝接收。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4.2.4 到投标截止时间止，递交投标文件的投标人少于3个时，招标人将依法重新组织招标。</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05" w:name="_Toc18603064"/>
      <w:bookmarkStart w:id="106" w:name="_Toc19378"/>
      <w:r>
        <w:rPr>
          <w:rFonts w:hint="eastAsia" w:asciiTheme="majorEastAsia" w:hAnsiTheme="majorEastAsia" w:eastAsiaTheme="majorEastAsia" w:cstheme="majorEastAsia"/>
        </w:rPr>
        <w:t>4.3 投标文件的修改与撤回</w:t>
      </w:r>
      <w:bookmarkEnd w:id="105"/>
      <w:bookmarkEnd w:id="106"/>
    </w:p>
    <w:p>
      <w:pPr>
        <w:spacing w:line="440" w:lineRule="exact"/>
        <w:ind w:firstLine="480" w:firstLineChars="200"/>
        <w:jc w:val="left"/>
        <w:rPr>
          <w:rFonts w:hint="eastAsia" w:asciiTheme="majorEastAsia" w:hAnsiTheme="majorEastAsia" w:eastAsiaTheme="majorEastAsia" w:cstheme="majorEastAsia"/>
          <w:sz w:val="24"/>
          <w:szCs w:val="24"/>
        </w:rPr>
      </w:pPr>
      <w:bookmarkStart w:id="107" w:name="EB0136289d5cbd4b2fa6204b4b0668e04f"/>
      <w:r>
        <w:rPr>
          <w:rFonts w:hint="eastAsia" w:asciiTheme="majorEastAsia" w:hAnsiTheme="majorEastAsia" w:eastAsiaTheme="majorEastAsia" w:cstheme="majorEastAsia"/>
          <w:sz w:val="24"/>
          <w:szCs w:val="24"/>
        </w:rPr>
        <w:t>4.3.1 在投标人须知前附表规定的投标截止时间前，投标人可以修改或撤回已递交的投标文件，但应以书面形式通知招标人。</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4.3.2 投标人修改或撤回已递交投标文件的书面通知应按照招标文件的要求签字或盖章。招标人收到书面通知后，向投标人出具签收凭证。</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4.3.3 投标人撤回投标文件的，招标人自收到投标人书面撤回通知之日起5日内退还已收取的投标保证金（如有）。</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4.3.4 修改的内容为投标文件的组成部分。修改的投标文件应按照本章第3条、第4条规定进行编制、密封、标记和递交，并标明“修改”字样。</w:t>
      </w:r>
    </w:p>
    <w:bookmarkEnd w:id="107"/>
    <w:p>
      <w:pPr>
        <w:spacing w:line="440" w:lineRule="exact"/>
        <w:ind w:firstLine="482" w:firstLineChars="200"/>
        <w:jc w:val="left"/>
        <w:rPr>
          <w:rFonts w:hint="eastAsia" w:asciiTheme="majorEastAsia" w:hAnsiTheme="majorEastAsia" w:eastAsiaTheme="majorEastAsia" w:cstheme="majorEastAsia"/>
          <w:b/>
          <w:bCs/>
          <w:sz w:val="24"/>
          <w:szCs w:val="24"/>
        </w:rPr>
      </w:pPr>
      <w:bookmarkStart w:id="108" w:name="_Toc18135"/>
      <w:bookmarkStart w:id="109" w:name="_Toc522293510"/>
      <w:r>
        <w:rPr>
          <w:rFonts w:hint="eastAsia" w:asciiTheme="majorEastAsia" w:hAnsiTheme="majorEastAsia" w:eastAsiaTheme="majorEastAsia" w:cstheme="majorEastAsia"/>
          <w:b/>
          <w:bCs/>
          <w:sz w:val="24"/>
          <w:szCs w:val="24"/>
        </w:rPr>
        <w:t>5. 开标</w:t>
      </w:r>
      <w:bookmarkEnd w:id="108"/>
      <w:bookmarkEnd w:id="109"/>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10" w:name="_Toc29775"/>
      <w:bookmarkStart w:id="111" w:name="_Toc18603065"/>
      <w:r>
        <w:rPr>
          <w:rFonts w:hint="eastAsia" w:asciiTheme="majorEastAsia" w:hAnsiTheme="majorEastAsia" w:eastAsiaTheme="majorEastAsia" w:cstheme="majorEastAsia"/>
        </w:rPr>
        <w:t>5.1 开标时间和地点</w:t>
      </w:r>
      <w:bookmarkEnd w:id="110"/>
      <w:bookmarkEnd w:id="111"/>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5.1.1 招标人将于投标人须知前附表规定的时间和地点公开开标，并邀请所有投标人授权委托代表准时参加。</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授权委托代表必须按时参加开标会，并在招标人按开标程序进行点名时，向招标人提交二代身份证和法人授权委托书查验，以证明其出席。招标人核实确认并如实记入开标记录。投标人授权委托代表未按要求参加开标会的，其投标将被否决。</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12" w:name="_Toc11352"/>
      <w:bookmarkStart w:id="113" w:name="_Toc18603066"/>
      <w:r>
        <w:rPr>
          <w:rFonts w:hint="eastAsia" w:asciiTheme="majorEastAsia" w:hAnsiTheme="majorEastAsia" w:eastAsiaTheme="majorEastAsia" w:cstheme="majorEastAsia"/>
        </w:rPr>
        <w:t>5.2 开标程序</w:t>
      </w:r>
      <w:bookmarkEnd w:id="112"/>
      <w:bookmarkEnd w:id="113"/>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主持人按下列程序进行开标：</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（1）宣布开标会开始，并宣读开标纪律；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（2）宣布主持人、招标人代表、记录人、监标人等有关人员姓名；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（3）公布在投标截止时间前投标文件的递交情况，并由招标人核查投标人授权委托代表是否出席开标会并核实其身份；</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（4）对未按照第3.7.5项规定提交全部类型投标文件的投标人，其投标文件将被拒绝；</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（5）唱标，公布投标人名称、投标报价、服务时间及其他内容；</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（6）招标人代表、监标人、记录人、投标人授权委托代表等在开标记录表上签字确认；</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（7）宣布评标期间注意事项；</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（8）开标结束。</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14" w:name="_Toc18603067"/>
      <w:bookmarkStart w:id="115" w:name="_Toc22287"/>
      <w:r>
        <w:rPr>
          <w:rFonts w:hint="eastAsia" w:asciiTheme="majorEastAsia" w:hAnsiTheme="majorEastAsia" w:eastAsiaTheme="majorEastAsia" w:cstheme="majorEastAsia"/>
        </w:rPr>
        <w:t>5.3 开标异议</w:t>
      </w:r>
      <w:bookmarkEnd w:id="114"/>
      <w:bookmarkEnd w:id="11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5.3.1 投标人对开标有异议的，应当在开标现场提出；招标人当场对异议作出答复，并制作记录。</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本处所称异议是指投标人在开标现场对投标文件提交、投标截止时间、开标程序、投标文件密封、唱标内容、开标记录、唱标次序以及投标人和招标人或者投标人相互之间存在利益冲突的情形等提出的质疑。</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5.3.2 投标人异议成立的，招标人将及时采取纠正措施，或者提交评标委员会评审确认；投标人异议不成立的，招标人将当场给予解释说明。开标工作人员包括监督人员不应在开标现场对相关投标作出有效或者无效的判断。</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16" w:name="_Toc4650"/>
      <w:bookmarkStart w:id="117" w:name="_Toc522293511"/>
      <w:bookmarkStart w:id="118" w:name="_Toc25891"/>
      <w:r>
        <w:rPr>
          <w:rFonts w:hint="eastAsia" w:asciiTheme="majorEastAsia" w:hAnsiTheme="majorEastAsia" w:eastAsiaTheme="majorEastAsia" w:cstheme="majorEastAsia"/>
          <w:sz w:val="24"/>
          <w:szCs w:val="24"/>
        </w:rPr>
        <w:t>6. 评标</w:t>
      </w:r>
      <w:bookmarkEnd w:id="116"/>
      <w:bookmarkEnd w:id="117"/>
      <w:bookmarkEnd w:id="118"/>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19" w:name="_Toc18603069"/>
      <w:bookmarkStart w:id="120" w:name="_Toc15401"/>
      <w:r>
        <w:rPr>
          <w:rFonts w:hint="eastAsia" w:asciiTheme="majorEastAsia" w:hAnsiTheme="majorEastAsia" w:eastAsiaTheme="majorEastAsia" w:cstheme="majorEastAsia"/>
        </w:rPr>
        <w:t>6.1 评标委员会</w:t>
      </w:r>
      <w:bookmarkEnd w:id="119"/>
      <w:bookmarkEnd w:id="120"/>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6.1.1 评标由招标人依法组建的评标委员会负责。评标委员会由招标人以及有关技术、经济等方面的专家组成。评标委员会成员人数以及技术、经济等方面专家的确定方式见投标人须知前附表。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6.1.2 评标委员会成员有下列情形之一的，应当回避：</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（1）招标人或投标人的主要负责人的近亲属；</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（2）项目主管部门或者行政监督部门的人员；</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（3）与投标人有经济利益关系或其他利害关系，可能影响对投标公正评审的；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（4）曾因在招标、评标以及其他与招标投标有关活动中从事违法行为而受过行政处罚或刑事处罚的。</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21" w:name="_Toc18603070"/>
      <w:bookmarkStart w:id="122" w:name="_Toc28548"/>
      <w:r>
        <w:rPr>
          <w:rFonts w:hint="eastAsia" w:asciiTheme="majorEastAsia" w:hAnsiTheme="majorEastAsia" w:eastAsiaTheme="majorEastAsia" w:cstheme="majorEastAsia"/>
        </w:rPr>
        <w:t>6.2 评标原则</w:t>
      </w:r>
      <w:bookmarkEnd w:id="121"/>
      <w:bookmarkEnd w:id="12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评标活动遵循公平、公正、科学和择优的原则。</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23" w:name="_Toc18603071"/>
      <w:bookmarkStart w:id="124" w:name="_Toc14238"/>
      <w:r>
        <w:rPr>
          <w:rFonts w:hint="eastAsia" w:asciiTheme="majorEastAsia" w:hAnsiTheme="majorEastAsia" w:eastAsiaTheme="majorEastAsia" w:cstheme="majorEastAsia"/>
        </w:rPr>
        <w:t>6.3 评标</w:t>
      </w:r>
      <w:bookmarkEnd w:id="123"/>
      <w:bookmarkEnd w:id="12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评标委员会按照第三章“评标办法”规定的方法、评审因素、标准和程序对投标文件进行评审。第三章“评标办法”没有规定的方法、评审因素和标准，不作为评标依据。</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25" w:name="_Toc522293512"/>
      <w:bookmarkStart w:id="126" w:name="_Toc24350"/>
      <w:bookmarkStart w:id="127" w:name="_Toc22142"/>
      <w:r>
        <w:rPr>
          <w:rFonts w:hint="eastAsia" w:asciiTheme="majorEastAsia" w:hAnsiTheme="majorEastAsia" w:eastAsiaTheme="majorEastAsia" w:cstheme="majorEastAsia"/>
          <w:sz w:val="24"/>
          <w:szCs w:val="24"/>
        </w:rPr>
        <w:t>7. 合同授予</w:t>
      </w:r>
      <w:bookmarkEnd w:id="125"/>
      <w:bookmarkEnd w:id="126"/>
      <w:bookmarkEnd w:id="127"/>
    </w:p>
    <w:p>
      <w:pPr>
        <w:spacing w:line="440" w:lineRule="exact"/>
        <w:ind w:firstLine="482" w:firstLineChars="200"/>
        <w:jc w:val="left"/>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7.1 成交结果公告</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7.1.1 成交结果经审批后在湖北三峡旅游集团股份有限公司官网（http://www.hbsxly.com/）、宜昌交通旅游产业发展集团有限公司招标采购平台（http://zbcg.ycjljt.com:81/）公告3个工作日。</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7.1.2公示期满后，没有异议、投诉或者异议、投诉处理完毕。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w:t>
      </w:r>
      <w:r>
        <w:rPr>
          <w:rFonts w:hint="eastAsia" w:asciiTheme="majorEastAsia" w:hAnsiTheme="majorEastAsia" w:eastAsiaTheme="majorEastAsia" w:cstheme="majorEastAsia"/>
          <w:sz w:val="24"/>
          <w:szCs w:val="24"/>
          <w:lang w:val="en-US" w:eastAsia="zh-CN"/>
        </w:rPr>
        <w:t>3</w:t>
      </w:r>
      <w:r>
        <w:rPr>
          <w:rFonts w:hint="eastAsia" w:asciiTheme="majorEastAsia" w:hAnsiTheme="majorEastAsia" w:eastAsiaTheme="majorEastAsia" w:cstheme="majorEastAsia"/>
          <w:sz w:val="24"/>
          <w:szCs w:val="24"/>
        </w:rPr>
        <w:t xml:space="preserve"> 投标人或者其他利害关系人对结果有异议的,应在公告期内以书面形式向招标人提出,招标人将自收到异议之日起3日内作出书面答复,作出答复前,暂停招标活动；投标人或者其他利害关系人对招标人答复仍持有异议的，应当在收到答复之日起10日内持招标人的答复及投诉书，向上级管理机构提出投诉。投诉处理结束前,暂停招标活动，但暂停时间最长不得超过30日。</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28" w:name="_Toc31558"/>
      <w:bookmarkStart w:id="129" w:name="_Toc18603075"/>
      <w:r>
        <w:rPr>
          <w:rFonts w:hint="eastAsia" w:asciiTheme="majorEastAsia" w:hAnsiTheme="majorEastAsia" w:eastAsiaTheme="majorEastAsia" w:cstheme="majorEastAsia"/>
        </w:rPr>
        <w:t>7.2履约能力的审查（如有）</w:t>
      </w:r>
      <w:bookmarkEnd w:id="128"/>
      <w:bookmarkEnd w:id="129"/>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如果中标候选人的经营、财务状况发生较大变化或者存在违法行为，招标人认为可能影响其履约能力的，将在发出中标通知书前报请行政监督部门后，召集原评标委员会按照招标文件规定的标准和方法审查确认。</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30" w:name="_Toc18603077"/>
      <w:bookmarkStart w:id="131" w:name="_Toc5091"/>
      <w:r>
        <w:rPr>
          <w:rFonts w:hint="eastAsia" w:asciiTheme="majorEastAsia" w:hAnsiTheme="majorEastAsia" w:eastAsiaTheme="majorEastAsia" w:cstheme="majorEastAsia"/>
        </w:rPr>
        <w:t>7.3 履约保证金</w:t>
      </w:r>
      <w:bookmarkEnd w:id="130"/>
      <w:bookmarkEnd w:id="131"/>
    </w:p>
    <w:p>
      <w:pPr>
        <w:pStyle w:val="5"/>
        <w:keepNext w:val="0"/>
        <w:keepLines w:val="0"/>
        <w:spacing w:after="0" w:line="440" w:lineRule="exact"/>
        <w:ind w:firstLine="480" w:firstLineChars="200"/>
        <w:rPr>
          <w:rFonts w:hint="eastAsia" w:asciiTheme="majorEastAsia" w:hAnsiTheme="majorEastAsia" w:eastAsiaTheme="majorEastAsia" w:cstheme="majorEastAsia"/>
          <w:b w:val="0"/>
          <w:bCs w:val="0"/>
          <w:color w:val="000000"/>
          <w:kern w:val="0"/>
        </w:rPr>
      </w:pPr>
      <w:bookmarkStart w:id="132" w:name="_Toc21407"/>
      <w:bookmarkStart w:id="133" w:name="_Toc19740"/>
      <w:bookmarkStart w:id="134" w:name="_Toc18603078"/>
      <w:r>
        <w:rPr>
          <w:rFonts w:hint="eastAsia" w:asciiTheme="majorEastAsia" w:hAnsiTheme="majorEastAsia" w:eastAsiaTheme="majorEastAsia" w:cstheme="majorEastAsia"/>
          <w:b w:val="0"/>
          <w:bCs w:val="0"/>
          <w:color w:val="000000"/>
          <w:kern w:val="0"/>
        </w:rPr>
        <w:t>本项目无履约保证金。</w:t>
      </w:r>
      <w:bookmarkEnd w:id="132"/>
      <w:bookmarkEnd w:id="133"/>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35" w:name="_Toc23655"/>
      <w:r>
        <w:rPr>
          <w:rFonts w:hint="eastAsia" w:asciiTheme="majorEastAsia" w:hAnsiTheme="majorEastAsia" w:eastAsiaTheme="majorEastAsia" w:cstheme="majorEastAsia"/>
        </w:rPr>
        <w:t>7.4 签订合同</w:t>
      </w:r>
      <w:bookmarkEnd w:id="134"/>
      <w:bookmarkEnd w:id="13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7.4.1 招标人和中标人应当在投标有效期内并自中标通知书发出之日起30日内，根据招标文件和中标人的投标文件订立书面合同。中标人无正当理由拒签合同或在签订合同时向招标人提出附加条件的，招标人取消其中标资格；给招标人造成的损失，中标人还应当予以赔偿。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7.4.2 发出中标通知书后，因招标人无正当理由拒签合同给中标人造成损失的，还应当赔偿损失。</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7.4.3 签约合同价的确定原则如下：</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开标时投标函中大写投标总价应为签约合同价。按照第三章“评标办法”的规定，如投标报价有算术错误的，修正的价格经投标人书面确认后，以修正后的投标总价为签约合同价。</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36" w:name="_Toc522293513"/>
      <w:bookmarkStart w:id="137" w:name="_Toc31756"/>
      <w:bookmarkStart w:id="138" w:name="_Toc11052"/>
      <w:r>
        <w:rPr>
          <w:rFonts w:hint="eastAsia" w:asciiTheme="majorEastAsia" w:hAnsiTheme="majorEastAsia" w:eastAsiaTheme="majorEastAsia" w:cstheme="majorEastAsia"/>
          <w:sz w:val="24"/>
          <w:szCs w:val="24"/>
        </w:rPr>
        <w:t>8. 重新招标、不再招标和终止招标</w:t>
      </w:r>
      <w:bookmarkEnd w:id="136"/>
      <w:bookmarkEnd w:id="137"/>
      <w:bookmarkEnd w:id="138"/>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39" w:name="_Toc18603080"/>
      <w:bookmarkStart w:id="140" w:name="_Toc31062"/>
      <w:r>
        <w:rPr>
          <w:rFonts w:hint="eastAsia" w:asciiTheme="majorEastAsia" w:hAnsiTheme="majorEastAsia" w:eastAsiaTheme="majorEastAsia" w:cstheme="majorEastAsia"/>
        </w:rPr>
        <w:t>8.1 重新招标</w:t>
      </w:r>
      <w:bookmarkEnd w:id="139"/>
      <w:bookmarkEnd w:id="140"/>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有下列情形之一的，招标人将重新招标：</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（1）投标截止时间止，投标人少于3个的；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（2）经评标委员会评审后否决所有投标的；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（3）除非已经产生中标候选人，在投标有效期内同意延长投标有效期的投标人少于三个的；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（4）第一中标候选人或所有中标候选人均未与招标人签订合同的；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（5）法律、法规规定的其他情形。</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41" w:name="_Toc3643"/>
      <w:bookmarkStart w:id="142" w:name="_Toc18603081"/>
      <w:r>
        <w:rPr>
          <w:rFonts w:hint="eastAsia" w:asciiTheme="majorEastAsia" w:hAnsiTheme="majorEastAsia" w:eastAsiaTheme="majorEastAsia" w:cstheme="majorEastAsia"/>
        </w:rPr>
        <w:t>8.2 不再招标</w:t>
      </w:r>
      <w:bookmarkEnd w:id="141"/>
      <w:bookmarkEnd w:id="14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重新招标后投标人仍少于3个或者所有投标被否决的，经领导批准后可不再进行招标。</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43" w:name="_Toc18603082"/>
      <w:bookmarkStart w:id="144" w:name="_Toc1267"/>
      <w:r>
        <w:rPr>
          <w:rFonts w:hint="eastAsia" w:asciiTheme="majorEastAsia" w:hAnsiTheme="majorEastAsia" w:eastAsiaTheme="majorEastAsia" w:cstheme="majorEastAsia"/>
        </w:rPr>
        <w:t>8.3 终止招标</w:t>
      </w:r>
      <w:bookmarkEnd w:id="143"/>
      <w:bookmarkEnd w:id="14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因不可抗力等原因，招标人终止招标的，将及时发布公告，或者以书面形式通知已经获取招标文件的潜在投标人。已经收取投标保证金的，招标人将及时退还所收取的投标保证金。</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45" w:name="_Toc11655"/>
      <w:bookmarkStart w:id="146" w:name="_Toc12079"/>
      <w:bookmarkStart w:id="147" w:name="_Toc522293514"/>
      <w:r>
        <w:rPr>
          <w:rFonts w:hint="eastAsia" w:asciiTheme="majorEastAsia" w:hAnsiTheme="majorEastAsia" w:eastAsiaTheme="majorEastAsia" w:cstheme="majorEastAsia"/>
          <w:sz w:val="24"/>
          <w:szCs w:val="24"/>
        </w:rPr>
        <w:t>9. 纪律和监督</w:t>
      </w:r>
      <w:bookmarkEnd w:id="145"/>
      <w:bookmarkEnd w:id="146"/>
      <w:bookmarkEnd w:id="147"/>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48" w:name="_Toc18116"/>
      <w:bookmarkStart w:id="149" w:name="_Toc18603084"/>
      <w:r>
        <w:rPr>
          <w:rFonts w:hint="eastAsia" w:asciiTheme="majorEastAsia" w:hAnsiTheme="majorEastAsia" w:eastAsiaTheme="majorEastAsia" w:cstheme="majorEastAsia"/>
        </w:rPr>
        <w:t>9.1 对招标人的纪律要求</w:t>
      </w:r>
      <w:bookmarkEnd w:id="148"/>
      <w:bookmarkEnd w:id="149"/>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招标人不得泄漏招标投标活动中应当保密的情况和资料，不得与投标人串通损害国家利益、社会公共利益或者他人合法权益。</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50" w:name="_Toc22158"/>
      <w:bookmarkStart w:id="151" w:name="_Toc18603085"/>
      <w:r>
        <w:rPr>
          <w:rFonts w:hint="eastAsia" w:asciiTheme="majorEastAsia" w:hAnsiTheme="majorEastAsia" w:eastAsiaTheme="majorEastAsia" w:cstheme="majorEastAsia"/>
        </w:rPr>
        <w:t>9.2 对投标人的纪律要求</w:t>
      </w:r>
      <w:bookmarkEnd w:id="150"/>
      <w:bookmarkEnd w:id="151"/>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52" w:name="_Toc5983"/>
      <w:bookmarkStart w:id="153" w:name="_Toc18603086"/>
      <w:r>
        <w:rPr>
          <w:rFonts w:hint="eastAsia" w:asciiTheme="majorEastAsia" w:hAnsiTheme="majorEastAsia" w:eastAsiaTheme="majorEastAsia" w:cstheme="majorEastAsia"/>
        </w:rPr>
        <w:t>9.3 对评标委员会成员的纪律要求</w:t>
      </w:r>
      <w:bookmarkEnd w:id="152"/>
      <w:bookmarkEnd w:id="153"/>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第三章“评标办法”没有规定的评审因素和标准进行评标。</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54" w:name="_Toc18603087"/>
      <w:bookmarkStart w:id="155" w:name="_Toc15443"/>
      <w:r>
        <w:rPr>
          <w:rFonts w:hint="eastAsia" w:asciiTheme="majorEastAsia" w:hAnsiTheme="majorEastAsia" w:eastAsiaTheme="majorEastAsia" w:cstheme="majorEastAsia"/>
        </w:rPr>
        <w:t>9.4 对与评标活动有关的工作人员的纪律要求</w:t>
      </w:r>
      <w:bookmarkEnd w:id="154"/>
      <w:bookmarkEnd w:id="15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56" w:name="_Toc12141"/>
      <w:bookmarkStart w:id="157" w:name="_Toc18603088"/>
      <w:r>
        <w:rPr>
          <w:rFonts w:hint="eastAsia" w:asciiTheme="majorEastAsia" w:hAnsiTheme="majorEastAsia" w:eastAsiaTheme="majorEastAsia" w:cstheme="majorEastAsia"/>
        </w:rPr>
        <w:t>9.5 投诉</w:t>
      </w:r>
      <w:bookmarkEnd w:id="156"/>
      <w:bookmarkEnd w:id="157"/>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本次招标投标活动及其相关当事人应当接受监督部门的监督。</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和其他利害关系人认为本次招标活动违反法律、法规和规章规定的，有权自知道或者应当知道之日起3日内向有关行政监督部门投诉，其中对招标文件的内容（包括最高限价）、开标、评标结果进行投诉的，应当按本章第2.3款、第3.2.3项、第5.4款、第7.1.2项的规定先向招标人提出异议后，方可向有关行政监督部门投诉，异议答复期不计算在规定的投诉时效期限内。</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投标人和其他利害关系人的投诉应按照《工程建设项目招标投标活动投诉处理办法》或《湖北省公共资源招标投标投诉处理办法》的规定进行。</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有关行政监督部门和工程造价管理机构的联系方式见投标人须知前附表（如有）。</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58" w:name="_Toc522293515"/>
      <w:bookmarkStart w:id="159" w:name="_Toc10190"/>
      <w:bookmarkStart w:id="160" w:name="_Toc10155"/>
      <w:r>
        <w:rPr>
          <w:rFonts w:hint="eastAsia" w:asciiTheme="majorEastAsia" w:hAnsiTheme="majorEastAsia" w:eastAsiaTheme="majorEastAsia" w:cstheme="majorEastAsia"/>
          <w:sz w:val="24"/>
          <w:szCs w:val="24"/>
        </w:rPr>
        <w:t>10. 需要补充的其他内容</w:t>
      </w:r>
      <w:bookmarkEnd w:id="158"/>
      <w:bookmarkEnd w:id="159"/>
      <w:bookmarkEnd w:id="160"/>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61" w:name="_Toc9218"/>
      <w:bookmarkStart w:id="162" w:name="_Toc18603090"/>
      <w:r>
        <w:rPr>
          <w:rFonts w:hint="eastAsia" w:asciiTheme="majorEastAsia" w:hAnsiTheme="majorEastAsia" w:eastAsiaTheme="majorEastAsia" w:cstheme="majorEastAsia"/>
        </w:rPr>
        <w:t>10.1 多标段投标</w:t>
      </w:r>
      <w:bookmarkEnd w:id="161"/>
      <w:bookmarkEnd w:id="16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多标段投标规定：见投标人须知前附表。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63" w:name="_Toc12989"/>
      <w:bookmarkStart w:id="164" w:name="_Toc18603091"/>
      <w:r>
        <w:rPr>
          <w:rFonts w:hint="eastAsia" w:asciiTheme="majorEastAsia" w:hAnsiTheme="majorEastAsia" w:eastAsiaTheme="majorEastAsia" w:cstheme="majorEastAsia"/>
        </w:rPr>
        <w:t>10.2 知识产权</w:t>
      </w:r>
      <w:bookmarkEnd w:id="163"/>
      <w:bookmarkEnd w:id="16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有关知识产权的规定：见投标人须知前附表。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65" w:name="_Toc8827"/>
      <w:bookmarkStart w:id="166" w:name="_Toc18603092"/>
      <w:r>
        <w:rPr>
          <w:rFonts w:hint="eastAsia" w:asciiTheme="majorEastAsia" w:hAnsiTheme="majorEastAsia" w:eastAsiaTheme="majorEastAsia" w:cstheme="majorEastAsia"/>
        </w:rPr>
        <w:t>10.3解释权</w:t>
      </w:r>
      <w:bookmarkEnd w:id="165"/>
      <w:bookmarkEnd w:id="166"/>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有关招标文件的解释权：见投标人须知前附表。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67" w:name="_Toc18912"/>
      <w:bookmarkStart w:id="168" w:name="_Toc18603093"/>
      <w:r>
        <w:rPr>
          <w:rFonts w:hint="eastAsia" w:asciiTheme="majorEastAsia" w:hAnsiTheme="majorEastAsia" w:eastAsiaTheme="majorEastAsia" w:cstheme="majorEastAsia"/>
        </w:rPr>
        <w:t>10.4 招标人补充的其他内容</w:t>
      </w:r>
      <w:bookmarkEnd w:id="167"/>
      <w:bookmarkEnd w:id="168"/>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无。</w:t>
      </w:r>
    </w:p>
    <w:p>
      <w:pPr>
        <w:pStyle w:val="4"/>
        <w:spacing w:line="440" w:lineRule="exact"/>
        <w:ind w:firstLine="48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b w:val="0"/>
          <w:bCs w:val="0"/>
          <w:sz w:val="24"/>
          <w:szCs w:val="24"/>
        </w:rPr>
        <w:br w:type="page"/>
      </w:r>
      <w:bookmarkStart w:id="169" w:name="_Toc522293516"/>
      <w:bookmarkStart w:id="170" w:name="_Toc18603094"/>
      <w:bookmarkStart w:id="171" w:name="_Toc14444"/>
      <w:bookmarkStart w:id="172" w:name="_Toc20608"/>
      <w:r>
        <w:rPr>
          <w:rFonts w:hint="eastAsia" w:asciiTheme="majorEastAsia" w:hAnsiTheme="majorEastAsia" w:eastAsiaTheme="majorEastAsia" w:cstheme="majorEastAsia"/>
        </w:rPr>
        <w:t>附表一：招标结果通知书</w:t>
      </w:r>
      <w:bookmarkEnd w:id="169"/>
      <w:bookmarkEnd w:id="170"/>
      <w:bookmarkEnd w:id="171"/>
      <w:bookmarkEnd w:id="172"/>
    </w:p>
    <w:p>
      <w:pPr>
        <w:rPr>
          <w:rFonts w:hint="eastAsia" w:asciiTheme="majorEastAsia" w:hAnsiTheme="majorEastAsia" w:eastAsiaTheme="majorEastAsia" w:cstheme="majorEastAsia"/>
          <w:b/>
          <w:sz w:val="24"/>
          <w:szCs w:val="24"/>
        </w:rPr>
      </w:pPr>
    </w:p>
    <w:p>
      <w:pP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_________________（未中标人名称）：</w:t>
      </w:r>
    </w:p>
    <w:p>
      <w:pPr>
        <w:rPr>
          <w:rFonts w:hint="eastAsia" w:asciiTheme="majorEastAsia" w:hAnsiTheme="majorEastAsia" w:eastAsiaTheme="majorEastAsia" w:cstheme="majorEastAsia"/>
          <w:sz w:val="24"/>
          <w:szCs w:val="24"/>
        </w:rPr>
      </w:pPr>
    </w:p>
    <w:p>
      <w:pPr>
        <w:spacing w:line="5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我方已接受</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（中标人名称）于</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（投标日期）所递交的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投标文件，确定</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（中标人名称）为中标人。</w:t>
      </w:r>
    </w:p>
    <w:p>
      <w:pPr>
        <w:spacing w:line="500" w:lineRule="exact"/>
        <w:ind w:firstLine="482"/>
        <w:rPr>
          <w:rFonts w:hint="eastAsia" w:asciiTheme="majorEastAsia" w:hAnsiTheme="majorEastAsia" w:eastAsiaTheme="majorEastAsia" w:cstheme="majorEastAsia"/>
          <w:sz w:val="24"/>
          <w:szCs w:val="24"/>
        </w:rPr>
      </w:pPr>
    </w:p>
    <w:p>
      <w:pPr>
        <w:spacing w:line="5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感谢你单位对我方工作的大力支持!</w:t>
      </w:r>
    </w:p>
    <w:p>
      <w:pPr>
        <w:spacing w:line="500" w:lineRule="exact"/>
        <w:ind w:firstLine="482"/>
        <w:rPr>
          <w:rFonts w:hint="eastAsia" w:asciiTheme="majorEastAsia" w:hAnsiTheme="majorEastAsia" w:eastAsiaTheme="majorEastAsia" w:cstheme="majorEastAsia"/>
        </w:rPr>
      </w:pPr>
    </w:p>
    <w:p>
      <w:pPr>
        <w:spacing w:line="500" w:lineRule="exact"/>
        <w:ind w:firstLine="482"/>
        <w:rPr>
          <w:rFonts w:hint="eastAsia" w:asciiTheme="majorEastAsia" w:hAnsiTheme="majorEastAsia" w:eastAsiaTheme="majorEastAsia" w:cstheme="majorEastAsia"/>
        </w:rPr>
      </w:pPr>
    </w:p>
    <w:p>
      <w:pPr>
        <w:spacing w:line="500" w:lineRule="exact"/>
        <w:ind w:firstLine="482"/>
        <w:rPr>
          <w:rFonts w:hint="eastAsia" w:asciiTheme="majorEastAsia" w:hAnsiTheme="majorEastAsia" w:eastAsiaTheme="majorEastAsia" w:cstheme="majorEastAsia"/>
        </w:rPr>
      </w:pPr>
    </w:p>
    <w:p>
      <w:pPr>
        <w:spacing w:line="500" w:lineRule="exact"/>
        <w:ind w:firstLine="482"/>
        <w:rPr>
          <w:rFonts w:hint="eastAsia" w:asciiTheme="majorEastAsia" w:hAnsiTheme="majorEastAsia" w:eastAsiaTheme="majorEastAsia" w:cstheme="majorEastAsia"/>
        </w:rPr>
      </w:pPr>
    </w:p>
    <w:p>
      <w:pPr>
        <w:spacing w:line="500" w:lineRule="exact"/>
        <w:ind w:firstLine="4200" w:firstLineChars="175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招标机构：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（盖单位章） </w:t>
      </w: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年       月       日  </w:t>
      </w:r>
    </w:p>
    <w:p>
      <w:pPr>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bookmarkStart w:id="173" w:name="_Toc522293517"/>
      <w:bookmarkStart w:id="174" w:name="_Toc25637"/>
      <w:bookmarkStart w:id="175" w:name="_Toc15828"/>
      <w:bookmarkStart w:id="176" w:name="_Toc18603095"/>
      <w:r>
        <w:rPr>
          <w:rFonts w:hint="eastAsia" w:asciiTheme="majorEastAsia" w:hAnsiTheme="majorEastAsia" w:eastAsiaTheme="majorEastAsia" w:cstheme="majorEastAsia"/>
        </w:rPr>
        <w:t>附表二：异议函</w:t>
      </w:r>
      <w:bookmarkEnd w:id="173"/>
      <w:bookmarkEnd w:id="174"/>
      <w:bookmarkEnd w:id="175"/>
      <w:bookmarkEnd w:id="176"/>
    </w:p>
    <w:p>
      <w:pPr>
        <w:spacing w:line="400" w:lineRule="exact"/>
        <w:ind w:firstLine="482"/>
        <w:jc w:val="center"/>
        <w:rPr>
          <w:rFonts w:hint="eastAsia" w:asciiTheme="majorEastAsia" w:hAnsiTheme="majorEastAsia" w:eastAsiaTheme="majorEastAsia" w:cstheme="majorEastAsia"/>
          <w:b/>
          <w:sz w:val="24"/>
          <w:szCs w:val="24"/>
        </w:rPr>
      </w:pPr>
    </w:p>
    <w:p>
      <w:pPr>
        <w:spacing w:line="400" w:lineRule="exact"/>
        <w:ind w:firstLine="482"/>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异议函</w:t>
      </w:r>
    </w:p>
    <w:p>
      <w:pPr>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(招标机构名称)：</w:t>
      </w:r>
    </w:p>
    <w:p>
      <w:pPr>
        <w:spacing w:line="5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我方已研究（看到）你方发出的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招标文件（或中标结果公告），现对下列问题提出异议，请予以解释：</w:t>
      </w:r>
    </w:p>
    <w:p>
      <w:pPr>
        <w:spacing w:line="5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w:t>
      </w:r>
    </w:p>
    <w:p>
      <w:pPr>
        <w:spacing w:line="5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w:t>
      </w:r>
    </w:p>
    <w:p>
      <w:pPr>
        <w:spacing w:line="500" w:lineRule="exact"/>
        <w:rPr>
          <w:rFonts w:hint="eastAsia" w:asciiTheme="majorEastAsia" w:hAnsiTheme="majorEastAsia" w:eastAsiaTheme="majorEastAsia" w:cstheme="majorEastAsia"/>
          <w:sz w:val="24"/>
          <w:szCs w:val="24"/>
        </w:rPr>
      </w:pPr>
    </w:p>
    <w:p>
      <w:pPr>
        <w:spacing w:line="500" w:lineRule="exact"/>
        <w:ind w:firstLine="3600" w:firstLineChars="15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投标人或利害关系人：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(盖单位章)</w:t>
      </w:r>
    </w:p>
    <w:p>
      <w:pPr>
        <w:spacing w:line="500" w:lineRule="exact"/>
        <w:ind w:firstLine="3600" w:firstLineChars="15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法定代表人或其委托代理人：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(签章)</w:t>
      </w:r>
    </w:p>
    <w:p>
      <w:pPr>
        <w:spacing w:line="500" w:lineRule="exact"/>
        <w:ind w:firstLine="6000" w:firstLineChars="25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年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rPr>
          <w:rFonts w:hint="eastAsia" w:asciiTheme="majorEastAsia" w:hAnsiTheme="majorEastAsia" w:eastAsiaTheme="majorEastAsia" w:cstheme="majorEastAsia"/>
          <w:sz w:val="24"/>
          <w:szCs w:val="24"/>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备注：投标人或利害关系人对招标文件的内容或对中标结果公告有异议，要求招标机构解释的，适用本格式。</w:t>
      </w: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bookmarkStart w:id="177" w:name="_Toc18603096"/>
      <w:bookmarkStart w:id="178" w:name="_Toc522293518"/>
      <w:bookmarkStart w:id="179" w:name="_Toc21445"/>
      <w:bookmarkStart w:id="180" w:name="_Toc6362"/>
      <w:r>
        <w:rPr>
          <w:rFonts w:hint="eastAsia" w:asciiTheme="majorEastAsia" w:hAnsiTheme="majorEastAsia" w:eastAsiaTheme="majorEastAsia" w:cstheme="majorEastAsia"/>
        </w:rPr>
        <w:t>附表三：异议答复函</w:t>
      </w:r>
      <w:bookmarkEnd w:id="177"/>
      <w:bookmarkEnd w:id="178"/>
      <w:bookmarkEnd w:id="179"/>
      <w:bookmarkEnd w:id="180"/>
    </w:p>
    <w:p>
      <w:pPr>
        <w:spacing w:line="400" w:lineRule="exact"/>
        <w:ind w:firstLine="482"/>
        <w:jc w:val="center"/>
        <w:rPr>
          <w:rFonts w:hint="eastAsia" w:asciiTheme="majorEastAsia" w:hAnsiTheme="majorEastAsia" w:eastAsiaTheme="majorEastAsia" w:cstheme="majorEastAsia"/>
          <w:b/>
          <w:sz w:val="24"/>
          <w:szCs w:val="24"/>
        </w:rPr>
      </w:pPr>
    </w:p>
    <w:p>
      <w:pPr>
        <w:spacing w:line="400" w:lineRule="exact"/>
        <w:ind w:firstLine="482"/>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异议答复函</w:t>
      </w:r>
    </w:p>
    <w:p>
      <w:pPr>
        <w:spacing w:line="400" w:lineRule="exact"/>
        <w:rPr>
          <w:rFonts w:hint="eastAsia" w:asciiTheme="majorEastAsia" w:hAnsiTheme="majorEastAsia" w:eastAsiaTheme="majorEastAsia" w:cstheme="majorEastAsia"/>
          <w:b/>
          <w:sz w:val="24"/>
          <w:szCs w:val="24"/>
        </w:rPr>
      </w:pPr>
    </w:p>
    <w:p>
      <w:pPr>
        <w:spacing w:line="500" w:lineRule="exact"/>
        <w:ind w:firstLine="120" w:firstLineChars="5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(投标人或利害关系人名称)：</w:t>
      </w:r>
    </w:p>
    <w:p>
      <w:pPr>
        <w:spacing w:line="5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你方提出的有关</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招标文件（或中标结果公告）的异议已收悉，现答复如下：</w:t>
      </w: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w:t>
      </w: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w:t>
      </w: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w:t>
      </w:r>
    </w:p>
    <w:p>
      <w:pPr>
        <w:spacing w:line="500" w:lineRule="exact"/>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招标机构：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（盖单位章）</w:t>
      </w:r>
    </w:p>
    <w:p>
      <w:pPr>
        <w:spacing w:line="500" w:lineRule="exact"/>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pStyle w:val="3"/>
        <w:pageBreakBefore/>
        <w:rPr>
          <w:rFonts w:hint="eastAsia" w:asciiTheme="majorEastAsia" w:hAnsiTheme="majorEastAsia" w:eastAsiaTheme="majorEastAsia" w:cstheme="majorEastAsia"/>
        </w:rPr>
      </w:pPr>
      <w:bookmarkStart w:id="181" w:name="_Toc522293519"/>
      <w:bookmarkStart w:id="182" w:name="_Toc31653"/>
      <w:bookmarkStart w:id="183" w:name="_Toc14652"/>
      <w:r>
        <w:rPr>
          <w:rFonts w:hint="eastAsia" w:asciiTheme="majorEastAsia" w:hAnsiTheme="majorEastAsia" w:eastAsiaTheme="majorEastAsia" w:cstheme="majorEastAsia"/>
        </w:rPr>
        <w:t>第三章  评标办法（</w:t>
      </w:r>
      <w:bookmarkEnd w:id="181"/>
      <w:bookmarkEnd w:id="182"/>
      <w:r>
        <w:rPr>
          <w:rFonts w:hint="eastAsia" w:asciiTheme="majorEastAsia" w:hAnsiTheme="majorEastAsia" w:eastAsiaTheme="majorEastAsia" w:cstheme="majorEastAsia"/>
        </w:rPr>
        <w:t>综合评估法）</w:t>
      </w:r>
      <w:bookmarkEnd w:id="183"/>
    </w:p>
    <w:p>
      <w:pPr>
        <w:pStyle w:val="4"/>
        <w:rPr>
          <w:rFonts w:hint="eastAsia" w:asciiTheme="majorEastAsia" w:hAnsiTheme="majorEastAsia" w:eastAsiaTheme="majorEastAsia" w:cstheme="majorEastAsia"/>
        </w:rPr>
      </w:pPr>
      <w:bookmarkStart w:id="184" w:name="_Toc29272"/>
      <w:bookmarkStart w:id="185" w:name="_Toc522293520"/>
      <w:bookmarkStart w:id="186" w:name="_Toc13377"/>
      <w:r>
        <w:rPr>
          <w:rFonts w:hint="eastAsia" w:asciiTheme="majorEastAsia" w:hAnsiTheme="majorEastAsia" w:eastAsiaTheme="majorEastAsia" w:cstheme="majorEastAsia"/>
        </w:rPr>
        <w:t>评标办法前附表</w:t>
      </w:r>
      <w:bookmarkEnd w:id="184"/>
      <w:bookmarkEnd w:id="185"/>
      <w:bookmarkEnd w:id="186"/>
    </w:p>
    <w:tbl>
      <w:tblPr>
        <w:tblStyle w:val="42"/>
        <w:tblW w:w="8923"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542"/>
        <w:gridCol w:w="175"/>
        <w:gridCol w:w="713"/>
        <w:gridCol w:w="2122"/>
        <w:gridCol w:w="53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30" w:type="dxa"/>
            <w:gridSpan w:val="3"/>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条款号</w:t>
            </w: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评审因素</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69" w:hRule="atLeast"/>
        </w:trPr>
        <w:tc>
          <w:tcPr>
            <w:tcW w:w="717" w:type="dxa"/>
            <w:gridSpan w:val="2"/>
            <w:vMerge w:val="restart"/>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2.1.1</w:t>
            </w:r>
          </w:p>
        </w:tc>
        <w:tc>
          <w:tcPr>
            <w:tcW w:w="713" w:type="dxa"/>
            <w:vMerge w:val="restart"/>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形式评审标准</w:t>
            </w: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投标人名称</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与营业执照一致。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834" w:hRule="atLeast"/>
        </w:trPr>
        <w:tc>
          <w:tcPr>
            <w:tcW w:w="717" w:type="dxa"/>
            <w:gridSpan w:val="2"/>
            <w:vMerge w:val="continue"/>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投标文件的签署</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符合第七章“投标文件格式”中要求签字或盖章的地方，投标人均应签字或盖章。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91" w:hRule="atLeast"/>
        </w:trPr>
        <w:tc>
          <w:tcPr>
            <w:tcW w:w="717" w:type="dxa"/>
            <w:gridSpan w:val="2"/>
            <w:vMerge w:val="continue"/>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报价唯一</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只能有一个报价（指投标函中的大写报价）。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268" w:hRule="atLeast"/>
        </w:trPr>
        <w:tc>
          <w:tcPr>
            <w:tcW w:w="717" w:type="dxa"/>
            <w:gridSpan w:val="2"/>
            <w:vMerge w:val="continue"/>
            <w:tcBorders>
              <w:top w:val="outset" w:color="auto" w:sz="6" w:space="0"/>
              <w:left w:val="outset" w:color="auto" w:sz="6" w:space="0"/>
              <w:bottom w:val="single" w:color="auto" w:sz="4"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outset" w:color="auto" w:sz="6" w:space="0"/>
              <w:left w:val="outset" w:color="auto" w:sz="6" w:space="0"/>
              <w:bottom w:val="single" w:color="auto" w:sz="4"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参加开标会</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投标人的法定代表人或委托代理人应携身份证明文件（法定代表人身份证明或法人授权委托书）和第二代有效身份证原件准时参加开标会。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restart"/>
            <w:tcBorders>
              <w:top w:val="single" w:color="auto" w:sz="4" w:space="0"/>
              <w:left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2.1.2</w:t>
            </w:r>
          </w:p>
        </w:tc>
        <w:tc>
          <w:tcPr>
            <w:tcW w:w="713" w:type="dxa"/>
            <w:vMerge w:val="restart"/>
            <w:tcBorders>
              <w:top w:val="single" w:color="auto" w:sz="4" w:space="0"/>
              <w:left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资格评审标准</w:t>
            </w: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kern w:val="0"/>
                <w:sz w:val="24"/>
                <w:szCs w:val="24"/>
              </w:rPr>
              <w:t>营业执照</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rPr>
              <w:t>投标人须具有有效的营业执照，且营业执照经营范围应包括轮胎销售，投标人不得以分公司名义进行投标，投标文件的单位盖章必须使用其法人公章，分公司盖章无效；（提供营业执照复印件加盖单位公章）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信用信息</w:t>
            </w:r>
          </w:p>
        </w:tc>
        <w:tc>
          <w:tcPr>
            <w:tcW w:w="5371" w:type="dxa"/>
            <w:tcBorders>
              <w:top w:val="outset" w:color="auto" w:sz="6" w:space="0"/>
              <w:left w:val="outset" w:color="auto" w:sz="6" w:space="0"/>
              <w:bottom w:val="outset" w:color="auto" w:sz="6" w:space="0"/>
              <w:right w:val="outset" w:color="auto" w:sz="6" w:space="0"/>
            </w:tcBorders>
            <w:vAlign w:val="center"/>
          </w:tcPr>
          <w:p>
            <w:pPr>
              <w:pStyle w:val="212"/>
              <w:shd w:val="clear" w:color="auto" w:fill="FFFFFF"/>
              <w:spacing w:line="380" w:lineRule="exact"/>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shd w:val="clear" w:color="auto" w:fill="FFFFFF"/>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信用信息进行查询，做好记录，由评标委员会按招标文件的规定进行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567" w:hRule="atLeast"/>
        </w:trPr>
        <w:tc>
          <w:tcPr>
            <w:tcW w:w="717" w:type="dxa"/>
            <w:gridSpan w:val="2"/>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单位负责人</w:t>
            </w:r>
          </w:p>
        </w:tc>
        <w:tc>
          <w:tcPr>
            <w:tcW w:w="5371" w:type="dxa"/>
            <w:tcBorders>
              <w:top w:val="outset" w:color="auto" w:sz="6" w:space="0"/>
              <w:left w:val="outset" w:color="auto" w:sz="6" w:space="0"/>
              <w:bottom w:val="outset" w:color="auto" w:sz="6" w:space="0"/>
              <w:right w:val="outset" w:color="auto" w:sz="6" w:space="0"/>
            </w:tcBorders>
            <w:vAlign w:val="center"/>
          </w:tcPr>
          <w:p>
            <w:pPr>
              <w:pStyle w:val="212"/>
              <w:shd w:val="clear" w:color="auto" w:fill="FFFFFF"/>
              <w:spacing w:line="380" w:lineRule="exact"/>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单位负责人为同一人或者存在控股、管理关系的不同单位，不得同时参加同一标段投标或者未划分标段的同一招标项目投标；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利害关系</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lang w:val="zh-CN"/>
              </w:rPr>
            </w:pPr>
            <w:r>
              <w:rPr>
                <w:rFonts w:hint="eastAsia" w:asciiTheme="majorEastAsia" w:hAnsiTheme="majorEastAsia" w:eastAsiaTheme="majorEastAsia" w:cstheme="majorEastAsia"/>
                <w:sz w:val="24"/>
                <w:szCs w:val="24"/>
                <w:lang w:val="zh-CN"/>
              </w:rPr>
              <w:t>与招标人存在利害关系可能影响招标公正性的法人、其他组织或者个人，不得参加投标；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left w:val="outset" w:color="auto" w:sz="6" w:space="0"/>
              <w:bottom w:val="single" w:color="auto" w:sz="4"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left w:val="outset" w:color="auto" w:sz="6" w:space="0"/>
              <w:bottom w:val="single" w:color="auto" w:sz="4"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single" w:color="auto" w:sz="4"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联合体</w:t>
            </w:r>
          </w:p>
        </w:tc>
        <w:tc>
          <w:tcPr>
            <w:tcW w:w="5371" w:type="dxa"/>
            <w:tcBorders>
              <w:top w:val="outset" w:color="auto" w:sz="6" w:space="0"/>
              <w:left w:val="outset" w:color="auto" w:sz="6" w:space="0"/>
              <w:bottom w:val="single" w:color="auto" w:sz="4" w:space="0"/>
              <w:right w:val="outset" w:color="auto" w:sz="6" w:space="0"/>
            </w:tcBorders>
            <w:vAlign w:val="center"/>
          </w:tcPr>
          <w:p>
            <w:pPr>
              <w:pStyle w:val="212"/>
              <w:shd w:val="clear" w:color="auto" w:fill="FFFFFF"/>
              <w:spacing w:line="380" w:lineRule="exact"/>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rPr>
              <w:t>本项目不接受联合体投标，投标人须以独立投标人身份参与本项目投标。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2.1.3</w:t>
            </w:r>
          </w:p>
        </w:tc>
        <w:tc>
          <w:tcPr>
            <w:tcW w:w="713"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响应性评审标准</w:t>
            </w: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投标内容</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符合第二章“投标人须知”第1.3项规定（供货范围、供货时间、质保期）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26" w:hRule="atLeast"/>
        </w:trPr>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投标有效期</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自投标截止时间起90天内有效。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权利义务</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投标文件中没有招标人不能接受的条件，或者对合同中约定的招标人的权利和投标人的义务方面造成重大限制的内容。</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877" w:hRule="atLeast"/>
        </w:trPr>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投标价格</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投标人的报价或算术错误修正后的投标报价（如有）未超过本项目最高限价。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19" w:hRule="atLeast"/>
        </w:trPr>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违法投标行为</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评标过程中，评标委员会未发现投标人串通投标，以他人名义投标或以其他弄虚作假方式投标。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30"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2.2.1</w:t>
            </w: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分值构成</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（总分100分）</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技术标：40分</w:t>
            </w:r>
          </w:p>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综合标：30分</w:t>
            </w:r>
          </w:p>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经济标：30分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30"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条款号</w:t>
            </w: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评审因素</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567" w:hRule="atLeast"/>
        </w:trPr>
        <w:tc>
          <w:tcPr>
            <w:tcW w:w="542"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2.2.2（1）</w:t>
            </w:r>
          </w:p>
        </w:tc>
        <w:tc>
          <w:tcPr>
            <w:tcW w:w="88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技术标评分标准</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（40分）</w:t>
            </w: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质量保证</w:t>
            </w:r>
          </w:p>
          <w:p>
            <w:pPr>
              <w:widowControl/>
              <w:jc w:val="center"/>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（10分）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投标人提供所投</w:t>
            </w:r>
            <w:r>
              <w:rPr>
                <w:rFonts w:hint="eastAsia" w:asciiTheme="majorEastAsia" w:hAnsiTheme="majorEastAsia" w:eastAsiaTheme="majorEastAsia" w:cstheme="majorEastAsia"/>
                <w:b/>
                <w:bCs/>
                <w:color w:val="000000"/>
                <w:kern w:val="0"/>
                <w:sz w:val="24"/>
                <w:szCs w:val="24"/>
                <w:lang w:bidi="ar"/>
              </w:rPr>
              <w:t>全部品牌</w:t>
            </w:r>
            <w:r>
              <w:rPr>
                <w:rFonts w:hint="eastAsia" w:asciiTheme="majorEastAsia" w:hAnsiTheme="majorEastAsia" w:eastAsiaTheme="majorEastAsia" w:cstheme="majorEastAsia"/>
                <w:color w:val="000000"/>
                <w:kern w:val="0"/>
                <w:sz w:val="24"/>
                <w:szCs w:val="24"/>
                <w:lang w:bidi="ar"/>
              </w:rPr>
              <w:t>厂家的有效期内的授权经销证明的，得5分，不全或未提供的不得分。</w:t>
            </w:r>
          </w:p>
          <w:p>
            <w:pPr>
              <w:widowControl/>
              <w:numPr>
                <w:ilvl w:val="0"/>
                <w:numId w:val="1"/>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提供产品质量保证承诺书的得5分。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95"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p>
        </w:tc>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bidi="ar"/>
              </w:rPr>
              <w:t>质保期限</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（10分）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numPr>
                <w:ilvl w:val="0"/>
                <w:numId w:val="0"/>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小于等于12个月的，该项不得分；</w:t>
            </w:r>
          </w:p>
          <w:p>
            <w:pPr>
              <w:widowControl/>
              <w:numPr>
                <w:ilvl w:val="0"/>
                <w:numId w:val="0"/>
              </w:numPr>
              <w:jc w:val="left"/>
              <w:textAlignment w:val="center"/>
              <w:rPr>
                <w:rFonts w:hint="eastAsia" w:asciiTheme="majorEastAsia" w:hAnsiTheme="majorEastAsia" w:eastAsiaTheme="majorEastAsia" w:cstheme="majorEastAsia"/>
                <w:color w:val="000000"/>
                <w:kern w:val="0"/>
                <w:sz w:val="24"/>
                <w:szCs w:val="24"/>
                <w:lang w:val="en-US" w:bidi="ar"/>
              </w:rPr>
            </w:pPr>
            <w:r>
              <w:rPr>
                <w:rFonts w:hint="eastAsia" w:asciiTheme="majorEastAsia" w:hAnsiTheme="majorEastAsia" w:eastAsiaTheme="majorEastAsia" w:cstheme="majorEastAsia"/>
                <w:color w:val="000000"/>
                <w:kern w:val="0"/>
                <w:sz w:val="24"/>
                <w:szCs w:val="24"/>
                <w:lang w:eastAsia="zh-CN" w:bidi="ar"/>
              </w:rPr>
              <w:t>大于</w:t>
            </w:r>
            <w:r>
              <w:rPr>
                <w:rFonts w:hint="eastAsia" w:asciiTheme="majorEastAsia" w:hAnsiTheme="majorEastAsia" w:eastAsiaTheme="majorEastAsia" w:cstheme="majorEastAsia"/>
                <w:color w:val="000000"/>
                <w:kern w:val="0"/>
                <w:sz w:val="24"/>
                <w:szCs w:val="24"/>
                <w:lang w:val="en-US" w:eastAsia="zh-CN" w:bidi="ar"/>
              </w:rPr>
              <w:t>12个月到18个月的，得3分；</w:t>
            </w:r>
          </w:p>
          <w:p>
            <w:pPr>
              <w:widowControl/>
              <w:numPr>
                <w:ilvl w:val="0"/>
                <w:numId w:val="0"/>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大于18个月，不足24个月的，该项得5分；</w:t>
            </w:r>
          </w:p>
          <w:p>
            <w:pPr>
              <w:widowControl/>
              <w:numPr>
                <w:ilvl w:val="0"/>
                <w:numId w:val="0"/>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大于等于24个月，该项得10分。</w:t>
            </w:r>
          </w:p>
          <w:p>
            <w:pPr>
              <w:widowControl/>
              <w:numPr>
                <w:ilvl w:val="0"/>
                <w:numId w:val="0"/>
              </w:numPr>
              <w:jc w:val="left"/>
              <w:textAlignment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szCs w:val="24"/>
                <w:lang w:bidi="ar"/>
              </w:rPr>
              <w:t>质保期限以</w:t>
            </w:r>
            <w:r>
              <w:rPr>
                <w:rFonts w:hint="eastAsia" w:asciiTheme="majorEastAsia" w:hAnsiTheme="majorEastAsia" w:eastAsiaTheme="majorEastAsia" w:cstheme="majorEastAsia"/>
                <w:color w:val="000000"/>
                <w:kern w:val="0"/>
                <w:sz w:val="24"/>
                <w:szCs w:val="24"/>
                <w:lang w:val="zh-CN" w:bidi="ar"/>
              </w:rPr>
              <w:t>装车之日起，仅按时间计</w:t>
            </w:r>
            <w:r>
              <w:rPr>
                <w:rFonts w:hint="eastAsia" w:asciiTheme="majorEastAsia" w:hAnsiTheme="majorEastAsia" w:eastAsiaTheme="majorEastAsia" w:cstheme="majorEastAsia"/>
                <w:color w:val="000000"/>
                <w:kern w:val="0"/>
                <w:sz w:val="24"/>
                <w:szCs w:val="24"/>
                <w:lang w:bidi="ar"/>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95" w:hRule="atLeast"/>
        </w:trPr>
        <w:tc>
          <w:tcPr>
            <w:tcW w:w="542" w:type="dxa"/>
            <w:vMerge w:val="continue"/>
            <w:tcBorders>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rPr>
            </w:pPr>
          </w:p>
        </w:tc>
        <w:tc>
          <w:tcPr>
            <w:tcW w:w="888" w:type="dxa"/>
            <w:gridSpan w:val="2"/>
            <w:vMerge w:val="continue"/>
            <w:tcBorders>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bidi="ar"/>
              </w:rPr>
              <w:t>紧急服务</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（10分）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投标人保持24小时通讯畅通，免费提供24小时维修和外出救援服务（仅轮胎服务），有相关承诺证明的得</w:t>
            </w:r>
            <w:r>
              <w:rPr>
                <w:rFonts w:hint="eastAsia" w:asciiTheme="majorEastAsia" w:hAnsiTheme="majorEastAsia" w:eastAsiaTheme="majorEastAsia" w:cstheme="majorEastAsia"/>
                <w:color w:val="000000"/>
                <w:kern w:val="0"/>
                <w:sz w:val="24"/>
                <w:szCs w:val="24"/>
                <w:lang w:val="en-US" w:eastAsia="zh-CN" w:bidi="ar"/>
              </w:rPr>
              <w:t>10</w:t>
            </w:r>
            <w:r>
              <w:rPr>
                <w:rFonts w:hint="eastAsia" w:asciiTheme="majorEastAsia" w:hAnsiTheme="majorEastAsia" w:eastAsiaTheme="majorEastAsia" w:cstheme="majorEastAsia"/>
                <w:color w:val="000000"/>
                <w:kern w:val="0"/>
                <w:sz w:val="24"/>
                <w:szCs w:val="24"/>
                <w:lang w:bidi="ar"/>
              </w:rPr>
              <w:t>分，否则不得分。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07"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rPr>
            </w:pPr>
          </w:p>
        </w:tc>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及时性</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（5分）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城区范围2小时内送到、县域范围24小时内送到、同时免费提供安装服务的得5分，需要提供承诺证明，否则不得分。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07"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sz w:val="24"/>
              </w:rPr>
            </w:pPr>
          </w:p>
        </w:tc>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sz w:val="24"/>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bidi="ar"/>
              </w:rPr>
              <w:t>货源储备</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（5分）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投标人在本市区（包括夷陵和猇亭）有轮胎储备仓库，同时提供加盖公章的仓库产权证明或租赁合同、整体图片、库存量等信息的得5分，未提供资料或资料不全的不得分。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567" w:hRule="atLeast"/>
        </w:trPr>
        <w:tc>
          <w:tcPr>
            <w:tcW w:w="542"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2.2.2（2）</w:t>
            </w:r>
          </w:p>
        </w:tc>
        <w:tc>
          <w:tcPr>
            <w:tcW w:w="88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综合标评分标准</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（30分）</w:t>
            </w:r>
          </w:p>
        </w:tc>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标书制作</w:t>
            </w:r>
          </w:p>
          <w:p>
            <w:pPr>
              <w:widowControl/>
              <w:spacing w:line="380" w:lineRule="exact"/>
              <w:jc w:val="center"/>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（3分）</w:t>
            </w:r>
          </w:p>
        </w:tc>
        <w:tc>
          <w:tcPr>
            <w:tcW w:w="5371" w:type="dxa"/>
            <w:tcBorders>
              <w:top w:val="single" w:color="auto" w:sz="4" w:space="0"/>
              <w:left w:val="single" w:color="auto" w:sz="4" w:space="0"/>
              <w:bottom w:val="single" w:color="auto" w:sz="4" w:space="0"/>
              <w:right w:val="single" w:color="auto" w:sz="4" w:space="0"/>
            </w:tcBorders>
            <w:vAlign w:val="center"/>
          </w:tcPr>
          <w:p>
            <w:pPr>
              <w:numPr>
                <w:ilvl w:val="0"/>
                <w:numId w:val="2"/>
              </w:numPr>
              <w:spacing w:line="380" w:lineRule="exact"/>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投标文件逐页有连续页码，并有详细目录，目录与有关材料装订顺序一一对应，相关资料完整、清晰，查阅方便的，得3分；</w:t>
            </w:r>
          </w:p>
          <w:p>
            <w:pPr>
              <w:numPr>
                <w:ilvl w:val="0"/>
                <w:numId w:val="2"/>
              </w:numPr>
              <w:spacing w:line="380" w:lineRule="exact"/>
              <w:jc w:val="left"/>
              <w:rPr>
                <w:rFonts w:hint="eastAsia" w:asciiTheme="majorEastAsia" w:hAnsiTheme="majorEastAsia" w:eastAsiaTheme="majorEastAsia" w:cstheme="majorEastAsia"/>
                <w:bCs/>
                <w:kern w:val="0"/>
                <w:sz w:val="24"/>
                <w:szCs w:val="24"/>
              </w:rPr>
            </w:pPr>
            <w:r>
              <w:rPr>
                <w:rFonts w:hint="eastAsia" w:asciiTheme="majorEastAsia" w:hAnsiTheme="majorEastAsia" w:eastAsiaTheme="majorEastAsia" w:cstheme="majorEastAsia"/>
                <w:color w:val="000000"/>
                <w:sz w:val="24"/>
                <w:szCs w:val="24"/>
              </w:rPr>
              <w:t>投标文件逐页有连续页码，有基本完整的目录，目录与有关材料装订顺序基本对应，相关资料无缺失的，得2分；</w:t>
            </w:r>
          </w:p>
          <w:p>
            <w:pPr>
              <w:numPr>
                <w:ilvl w:val="0"/>
                <w:numId w:val="2"/>
              </w:numPr>
              <w:spacing w:line="380" w:lineRule="exact"/>
              <w:jc w:val="left"/>
              <w:rPr>
                <w:rFonts w:hint="eastAsia" w:asciiTheme="majorEastAsia" w:hAnsiTheme="majorEastAsia" w:eastAsiaTheme="majorEastAsia" w:cstheme="majorEastAsia"/>
                <w:bCs/>
                <w:kern w:val="0"/>
                <w:sz w:val="24"/>
                <w:szCs w:val="24"/>
              </w:rPr>
            </w:pPr>
            <w:r>
              <w:rPr>
                <w:rFonts w:hint="eastAsia" w:asciiTheme="majorEastAsia" w:hAnsiTheme="majorEastAsia" w:eastAsiaTheme="majorEastAsia" w:cstheme="majorEastAsia"/>
                <w:color w:val="000000"/>
                <w:sz w:val="24"/>
                <w:szCs w:val="24"/>
              </w:rPr>
              <w:t>投标文件逐页有连续页码，目录粗略，且与有关材料装订顺序混乱，相关资料一般清晰的，得1分；否则不得分。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5"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p>
        </w:tc>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业绩证明</w:t>
            </w:r>
          </w:p>
          <w:p>
            <w:pPr>
              <w:widowControl/>
              <w:spacing w:line="380" w:lineRule="exact"/>
              <w:jc w:val="center"/>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sz w:val="24"/>
                <w:szCs w:val="24"/>
              </w:rPr>
              <w:t>（8分）</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bCs/>
                <w:kern w:val="0"/>
                <w:sz w:val="24"/>
                <w:szCs w:val="24"/>
              </w:rPr>
            </w:pPr>
            <w:r>
              <w:rPr>
                <w:rFonts w:hint="eastAsia" w:asciiTheme="majorEastAsia" w:hAnsiTheme="majorEastAsia" w:eastAsiaTheme="majorEastAsia" w:cstheme="majorEastAsia"/>
                <w:bCs/>
                <w:kern w:val="0"/>
                <w:sz w:val="24"/>
                <w:szCs w:val="24"/>
              </w:rPr>
              <w:t>投标人自2017年1月1日以来承担过类似项目供货业绩的，每提供一项得4分，本项最多得8分（需提供合同）。</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5" w:hRule="atLeast"/>
        </w:trPr>
        <w:tc>
          <w:tcPr>
            <w:tcW w:w="542" w:type="dxa"/>
            <w:vMerge w:val="continue"/>
            <w:tcBorders>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rPr>
            </w:pPr>
          </w:p>
        </w:tc>
        <w:tc>
          <w:tcPr>
            <w:tcW w:w="888" w:type="dxa"/>
            <w:gridSpan w:val="2"/>
            <w:vMerge w:val="continue"/>
            <w:tcBorders>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铺货管理</w:t>
            </w:r>
          </w:p>
          <w:p>
            <w:pPr>
              <w:pStyle w:val="2"/>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sz w:val="24"/>
              </w:rPr>
              <w:t>（4分）</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投标人每月至少3次对常用轮胎进行集中铺货，对铺货种类、数量提出有利于招标人生产需求的合理建议，及时清退无继续使用价值的轮胎和库存胎，提高铺货的有效率。</w:t>
            </w:r>
          </w:p>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提供铺货动态管理承诺的得4分，否则不得分。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5" w:hRule="atLeast"/>
        </w:trPr>
        <w:tc>
          <w:tcPr>
            <w:tcW w:w="542" w:type="dxa"/>
            <w:tcBorders>
              <w:top w:val="nil"/>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rPr>
            </w:pPr>
          </w:p>
        </w:tc>
        <w:tc>
          <w:tcPr>
            <w:tcW w:w="888" w:type="dxa"/>
            <w:gridSpan w:val="2"/>
            <w:tcBorders>
              <w:top w:val="nil"/>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bidi="ar"/>
              </w:rPr>
              <w:t>其它服务</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（15分）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根据投标人对质量纠纷、技术支持、合同期内价格变化、售后索赔等方面提供的支持承诺，由各评委分别进行横向综合评价，前三名分别得15分、10分、5分，其余不得分。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2.2.2（3）</w:t>
            </w:r>
          </w:p>
        </w:tc>
        <w:tc>
          <w:tcPr>
            <w:tcW w:w="888"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经济标评分因素评分标准</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30分</w:t>
            </w: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投标报价得分</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（30分）</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取各有效投标人（投标人数≥5的，去掉最高与最低）的投标报价的算术平均值为基准价，其价格分为满分，各投标报价得分统一按照每偏离1％扣1分计算，保留两位小数。</w:t>
            </w:r>
          </w:p>
        </w:tc>
      </w:tr>
    </w:tbl>
    <w:p>
      <w:pPr>
        <w:pStyle w:val="2"/>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bookmarkStart w:id="187" w:name="_Toc10151"/>
      <w:bookmarkStart w:id="188" w:name="_Toc523213619"/>
      <w:bookmarkStart w:id="189" w:name="_Toc26154"/>
      <w:r>
        <w:rPr>
          <w:rFonts w:hint="eastAsia" w:asciiTheme="majorEastAsia" w:hAnsiTheme="majorEastAsia" w:eastAsiaTheme="majorEastAsia" w:cstheme="majorEastAsia"/>
        </w:rPr>
        <w:t>1. 评标方法</w:t>
      </w:r>
      <w:bookmarkEnd w:id="187"/>
      <w:bookmarkEnd w:id="188"/>
      <w:bookmarkEnd w:id="189"/>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本次评标采用综合评估法。评标委员会对满足招标文件实质性要求的投标文件，按照本章第2.2款规定的评分标准进行打分，并按总得分由高到低顺序推荐中标候选人，或根据招标人授权直接确定中标人。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若有二家或二家以上的投标人总得分相同时，按报价得分由高到低的顺序排列。投标人总得分且报价得分相同的，由招标人自行确认中标人。</w:t>
      </w:r>
    </w:p>
    <w:p>
      <w:pPr>
        <w:spacing w:line="400" w:lineRule="exact"/>
        <w:ind w:firstLine="480" w:firstLineChars="200"/>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rPr>
      </w:pPr>
      <w:bookmarkStart w:id="190" w:name="_Toc7227"/>
      <w:bookmarkStart w:id="191" w:name="_Toc523213620"/>
      <w:bookmarkStart w:id="192" w:name="_Toc30026"/>
      <w:r>
        <w:rPr>
          <w:rFonts w:hint="eastAsia" w:asciiTheme="majorEastAsia" w:hAnsiTheme="majorEastAsia" w:eastAsiaTheme="majorEastAsia" w:cstheme="majorEastAsia"/>
        </w:rPr>
        <w:t>2. 评审标准</w:t>
      </w:r>
      <w:bookmarkEnd w:id="190"/>
      <w:bookmarkEnd w:id="191"/>
      <w:bookmarkEnd w:id="192"/>
    </w:p>
    <w:p>
      <w:pPr>
        <w:pStyle w:val="5"/>
        <w:rPr>
          <w:rFonts w:hint="eastAsia" w:asciiTheme="majorEastAsia" w:hAnsiTheme="majorEastAsia" w:eastAsiaTheme="majorEastAsia" w:cstheme="majorEastAsia"/>
        </w:rPr>
      </w:pPr>
      <w:bookmarkStart w:id="193" w:name="_Toc21839"/>
      <w:bookmarkStart w:id="194" w:name="_Toc18603101"/>
      <w:r>
        <w:rPr>
          <w:rFonts w:hint="eastAsia" w:asciiTheme="majorEastAsia" w:hAnsiTheme="majorEastAsia" w:eastAsiaTheme="majorEastAsia" w:cstheme="majorEastAsia"/>
        </w:rPr>
        <w:t>2.1 初步评审标准</w:t>
      </w:r>
      <w:bookmarkEnd w:id="193"/>
      <w:bookmarkEnd w:id="194"/>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2.1.1 形式评审标准：见评标办法前附表。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2.1.2 资格评审标准：见评标办法前附表。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2.1.3 响应性评审标准：见评标办法前附表。</w:t>
      </w:r>
    </w:p>
    <w:p>
      <w:pPr>
        <w:pStyle w:val="5"/>
        <w:rPr>
          <w:rFonts w:hint="eastAsia" w:asciiTheme="majorEastAsia" w:hAnsiTheme="majorEastAsia" w:eastAsiaTheme="majorEastAsia" w:cstheme="majorEastAsia"/>
        </w:rPr>
      </w:pPr>
      <w:bookmarkStart w:id="195" w:name="_Toc18603102"/>
      <w:bookmarkStart w:id="196" w:name="_Toc22817"/>
      <w:r>
        <w:rPr>
          <w:rFonts w:hint="eastAsia" w:asciiTheme="majorEastAsia" w:hAnsiTheme="majorEastAsia" w:eastAsiaTheme="majorEastAsia" w:cstheme="majorEastAsia"/>
        </w:rPr>
        <w:t>2.2 详细评审标准</w:t>
      </w:r>
      <w:bookmarkEnd w:id="195"/>
      <w:bookmarkEnd w:id="196"/>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（1）技术标评分因素评分标准：见评标办法前附表；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（2）综合标评分因素评分标准：见评标办法前附表；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（3）经济标评分因素评分标准：见评标办法前附表。</w:t>
      </w:r>
    </w:p>
    <w:p>
      <w:pPr>
        <w:spacing w:line="400" w:lineRule="exact"/>
        <w:ind w:firstLine="482"/>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rPr>
      </w:pPr>
      <w:bookmarkStart w:id="197" w:name="_Toc9722"/>
      <w:bookmarkStart w:id="198" w:name="_Toc23195"/>
      <w:bookmarkStart w:id="199" w:name="_Toc523213621"/>
      <w:r>
        <w:rPr>
          <w:rFonts w:hint="eastAsia" w:asciiTheme="majorEastAsia" w:hAnsiTheme="majorEastAsia" w:eastAsiaTheme="majorEastAsia" w:cstheme="majorEastAsia"/>
        </w:rPr>
        <w:t>3. 评标程序</w:t>
      </w:r>
      <w:bookmarkEnd w:id="197"/>
      <w:bookmarkEnd w:id="198"/>
      <w:bookmarkEnd w:id="199"/>
    </w:p>
    <w:p>
      <w:pPr>
        <w:pStyle w:val="5"/>
        <w:rPr>
          <w:rFonts w:hint="eastAsia" w:asciiTheme="majorEastAsia" w:hAnsiTheme="majorEastAsia" w:eastAsiaTheme="majorEastAsia" w:cstheme="majorEastAsia"/>
        </w:rPr>
      </w:pPr>
      <w:bookmarkStart w:id="200" w:name="_Toc18603104"/>
      <w:bookmarkStart w:id="201" w:name="_Toc10931"/>
      <w:r>
        <w:rPr>
          <w:rFonts w:hint="eastAsia" w:asciiTheme="majorEastAsia" w:hAnsiTheme="majorEastAsia" w:eastAsiaTheme="majorEastAsia" w:cstheme="majorEastAsia"/>
        </w:rPr>
        <w:t>3.1 评标准备</w:t>
      </w:r>
      <w:bookmarkEnd w:id="200"/>
      <w:bookmarkEnd w:id="201"/>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3.1.1 评标委员会成员签到</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评标委员会成员到达评标现场时应在签到表上签到以证明其出席。</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3.1.2 评标委员会的分工</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由评标委员会首先推选一名评标委员会负责人，评标委员会负责人负责评标活动的组织领导工作，评标委员会负责人在与其他评标委员会成员具有同等表决权。</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3.1.3 熟悉文件资料</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3.1.3.1 评标委员会负责人应组织评标委员会成员认真研究招标文件，了解和熟悉招标目的、供货范围、主要合同条件、技术标准和要求、服务时间要求，掌握评标标准和方法，熟悉评标表格的使用。未在招标文件中规定的标准和方法不得作为评标的依据。</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3.1.3.2 评标委员会成员在评标前应当了解招标工程概况及招标文件内容。招标人或其委托的招标代理机构应当向评标委员会提供评标所需的重要信息和相关数据资料，主要包括：</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（一）招标文件；</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（二）未在开标会上当场拒绝的投标文件；</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（三）开标会记录；</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（四）最高限价。</w:t>
      </w:r>
    </w:p>
    <w:p>
      <w:pPr>
        <w:pStyle w:val="5"/>
        <w:rPr>
          <w:rFonts w:hint="eastAsia" w:asciiTheme="majorEastAsia" w:hAnsiTheme="majorEastAsia" w:eastAsiaTheme="majorEastAsia" w:cstheme="majorEastAsia"/>
        </w:rPr>
      </w:pPr>
      <w:bookmarkStart w:id="202" w:name="_Toc15921"/>
      <w:bookmarkStart w:id="203" w:name="_Toc18603105"/>
      <w:r>
        <w:rPr>
          <w:rFonts w:hint="eastAsia" w:asciiTheme="majorEastAsia" w:hAnsiTheme="majorEastAsia" w:eastAsiaTheme="majorEastAsia" w:cstheme="majorEastAsia"/>
        </w:rPr>
        <w:t>3.2 初步评审</w:t>
      </w:r>
      <w:bookmarkEnd w:id="202"/>
      <w:bookmarkEnd w:id="203"/>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3.2.1 评标委员会可以要求投标人提交第二章“投标人须知”第3.5.1项规定的有关证明和证件的原件，以便核验。评标委员会依据本章第2.1款规定的标准对投标文件进行初步评审。有一项不符合评审标准的，其投标被否决。</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3.2.2 投标人有以下情形之一的，其投标被否决：</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（1）第二章“投标人须知”第1.4.3项、第1.4.4项规定的任何一种情形的；</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（2）串通投标或弄虚作假或有其他违法行为的；</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1）有下列情形之一的，视为投标人相互串通投标：</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 不同投标人的投标文件由同一单位或者个人编制；</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 不同投标人委托同一单位或者个人办理投标事宜；</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③ 不同投标人的投标文件载明的项目管理成员为同一人；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④ 不同投标人的投标文件异常一致或者投标报价呈规律性差异；</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⑤ 不同投标人的投标文件相互混装；</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⑥ 不同投标人的投标保证金从同一单位或者个人的账户转出。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2）有下列情形之一的，属于弄虚作假行为：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 使用通过受让或者租借等方式获取的资格、资质证书投标的，即以他人名义投标的。</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 使用伪造、变造的许可证件；</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③ 提供虚假的财务状况或者业绩；</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④ 提供虚假的项目负责人或者主要技术人员简历、劳动关系证明；</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⑤ 提供虚假的信用状况；</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⑥ 其他弄虚作假的行为。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3.2.3投标报价有算术错误的，评标委员会按以下原则对投标报价进行修正，修正的价格经投标人书面确认后具有约束力。</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投标文件中的大写金额与小写金额不一致的，以大写金额为准；</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3.2.4 评标委员会否决不合格投标后，因有效投标不足三个使得投标明显缺乏竞争的，评标委员会可以否决全部投标。</w:t>
      </w:r>
    </w:p>
    <w:p>
      <w:pPr>
        <w:pStyle w:val="5"/>
        <w:rPr>
          <w:rFonts w:hint="eastAsia" w:asciiTheme="majorEastAsia" w:hAnsiTheme="majorEastAsia" w:eastAsiaTheme="majorEastAsia" w:cstheme="majorEastAsia"/>
        </w:rPr>
      </w:pPr>
      <w:bookmarkStart w:id="204" w:name="_Toc13417"/>
      <w:bookmarkStart w:id="205" w:name="_Toc18603106"/>
      <w:r>
        <w:rPr>
          <w:rFonts w:hint="eastAsia" w:asciiTheme="majorEastAsia" w:hAnsiTheme="majorEastAsia" w:eastAsiaTheme="majorEastAsia" w:cstheme="majorEastAsia"/>
        </w:rPr>
        <w:t>3.3 详细评审</w:t>
      </w:r>
      <w:bookmarkEnd w:id="204"/>
      <w:bookmarkEnd w:id="205"/>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评标委员会对通过了初步评审的投标文件进行详细评审。</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3.3.1 技术评审</w:t>
      </w:r>
    </w:p>
    <w:p>
      <w:pPr>
        <w:spacing w:line="400" w:lineRule="exact"/>
        <w:ind w:firstLine="482"/>
        <w:rPr>
          <w:rFonts w:hint="eastAsia" w:asciiTheme="majorEastAsia" w:hAnsiTheme="majorEastAsia" w:eastAsiaTheme="majorEastAsia" w:cstheme="majorEastAsia"/>
          <w:sz w:val="24"/>
          <w:szCs w:val="24"/>
        </w:rPr>
      </w:pPr>
      <w:bookmarkStart w:id="206" w:name="EB50d52c40070e403d9be985a212210d32"/>
      <w:r>
        <w:rPr>
          <w:rFonts w:hint="eastAsia" w:asciiTheme="majorEastAsia" w:hAnsiTheme="majorEastAsia" w:eastAsiaTheme="majorEastAsia" w:cstheme="majorEastAsia"/>
          <w:sz w:val="24"/>
          <w:szCs w:val="24"/>
        </w:rPr>
        <w:t>评标委员会依据评标办法前附表第2.2.2（1）款规定的评标因素及评审标准进行详细性评审，评审方法如下：</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量化评分。评标委员会应依据招标文件的要求、特点及现场条件对投标人技术标独立进行评分，投标人该环节最终得分为各评委评分中去掉一个最高分和一个最低分后的算术平均值，评分分值计算保留至小数点后两位，小数点后第三位“四舍五入”。</w:t>
      </w:r>
      <w:bookmarkEnd w:id="206"/>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3.3.2 综合评审</w:t>
      </w:r>
    </w:p>
    <w:p>
      <w:pPr>
        <w:spacing w:line="400" w:lineRule="exact"/>
        <w:ind w:firstLine="482"/>
        <w:rPr>
          <w:rFonts w:hint="eastAsia" w:asciiTheme="majorEastAsia" w:hAnsiTheme="majorEastAsia" w:eastAsiaTheme="majorEastAsia" w:cstheme="majorEastAsia"/>
          <w:sz w:val="24"/>
          <w:szCs w:val="24"/>
        </w:rPr>
      </w:pPr>
      <w:bookmarkStart w:id="207" w:name="EBa86d7aa452da4eeda08974dd8b7ba22c"/>
      <w:r>
        <w:rPr>
          <w:rFonts w:hint="eastAsia" w:asciiTheme="majorEastAsia" w:hAnsiTheme="majorEastAsia" w:eastAsiaTheme="majorEastAsia" w:cstheme="majorEastAsia"/>
          <w:sz w:val="24"/>
          <w:szCs w:val="24"/>
        </w:rPr>
        <w:t>评标委员会依据评标办法前附表第2.2.2（2）款规定的评标因素及评审标准进行详细评审，投标人该环节最终得分为各评委评分的算术平均值。</w:t>
      </w:r>
      <w:bookmarkEnd w:id="207"/>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3.3.3 经济评审</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评标委员会依据评标办法前附表第2.2.2（3）款规定的评标因素及评审标准进行详细评审，投标人该环节最终得分为各评委评分的算术平均值。</w:t>
      </w:r>
    </w:p>
    <w:p>
      <w:pPr>
        <w:spacing w:line="4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评标委员会成员对各投标人的综合评分为其各分项得分之和。</w:t>
      </w:r>
    </w:p>
    <w:p>
      <w:pPr>
        <w:pStyle w:val="5"/>
        <w:rPr>
          <w:rFonts w:hint="eastAsia" w:asciiTheme="majorEastAsia" w:hAnsiTheme="majorEastAsia" w:eastAsiaTheme="majorEastAsia" w:cstheme="majorEastAsia"/>
        </w:rPr>
      </w:pPr>
      <w:bookmarkStart w:id="208" w:name="_Toc18603107"/>
      <w:bookmarkStart w:id="209" w:name="_Toc16023"/>
      <w:r>
        <w:rPr>
          <w:rFonts w:hint="eastAsia" w:asciiTheme="majorEastAsia" w:hAnsiTheme="majorEastAsia" w:eastAsiaTheme="majorEastAsia" w:cstheme="majorEastAsia"/>
        </w:rPr>
        <w:t>3.4 投标文件的澄清和补正</w:t>
      </w:r>
      <w:bookmarkEnd w:id="208"/>
      <w:bookmarkEnd w:id="209"/>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3.4.1 在评标过程中，评标委员会可以书面形式要求投标人对所提交投标文件中不明确的内容进行书面澄清或说明，或者对细微偏差进行补正。评标委员会不接受投标人主动提出的澄清、说明或补正。</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3.4.2 澄清、说明和补正不得改变投标文件的实质性内容（算术性错误修正的除外）。投标人的书面澄清、说明和补正属于投标文件的组成部分。</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3.4.3 评标委员会对投标人提交的澄清、说明或补正有疑问的，可以要求投标人进一步澄清、说明或补正，直至满足评标委员会的要求。</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3.4.4 投标人拒不按照要求对投标文件进行澄清、说明或者补正的，评标委员会可以在详细评审时按招标文件规定作出不利于投标人的评审或将其投标文件作废标处理。</w:t>
      </w:r>
    </w:p>
    <w:p>
      <w:pPr>
        <w:pStyle w:val="5"/>
        <w:rPr>
          <w:rFonts w:hint="eastAsia" w:asciiTheme="majorEastAsia" w:hAnsiTheme="majorEastAsia" w:eastAsiaTheme="majorEastAsia" w:cstheme="majorEastAsia"/>
        </w:rPr>
      </w:pPr>
      <w:bookmarkStart w:id="210" w:name="_Toc18603108"/>
      <w:bookmarkStart w:id="211" w:name="_Toc7352"/>
      <w:r>
        <w:rPr>
          <w:rFonts w:hint="eastAsia" w:asciiTheme="majorEastAsia" w:hAnsiTheme="majorEastAsia" w:eastAsiaTheme="majorEastAsia" w:cstheme="majorEastAsia"/>
        </w:rPr>
        <w:t>3.5 评标结果</w:t>
      </w:r>
      <w:bookmarkEnd w:id="210"/>
      <w:bookmarkEnd w:id="211"/>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3.5.1 除第二章“投标人须知”前附表授权直接确定中标人外，评标委员会按总得分由高到低顺序推荐中标候选人。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3.5.2 招标文件允许多标段投标、多标段中标的，各标段中标候选人的推荐按第二章“投标人须知” 第10.1款规定执行，对某些标段由此产生的空缺由排序在后的投标人依次替补。</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3.5.3 评标委员会完成评标后，应当向招标人提交书面评标报告。</w:t>
      </w:r>
    </w:p>
    <w:p>
      <w:pPr>
        <w:pStyle w:val="4"/>
        <w:rPr>
          <w:rFonts w:hint="eastAsia" w:asciiTheme="majorEastAsia" w:hAnsiTheme="majorEastAsia" w:eastAsiaTheme="majorEastAsia" w:cstheme="majorEastAsia"/>
        </w:rPr>
      </w:pPr>
      <w:bookmarkStart w:id="212" w:name="_Toc710"/>
      <w:bookmarkStart w:id="213" w:name="_Toc13872"/>
      <w:bookmarkStart w:id="214" w:name="_Toc523213622"/>
      <w:r>
        <w:rPr>
          <w:rFonts w:hint="eastAsia" w:asciiTheme="majorEastAsia" w:hAnsiTheme="majorEastAsia" w:eastAsiaTheme="majorEastAsia" w:cstheme="majorEastAsia"/>
        </w:rPr>
        <w:t>4. 特殊情况的处置程序</w:t>
      </w:r>
      <w:bookmarkEnd w:id="212"/>
      <w:bookmarkEnd w:id="213"/>
      <w:bookmarkEnd w:id="214"/>
    </w:p>
    <w:p>
      <w:pPr>
        <w:pStyle w:val="5"/>
        <w:rPr>
          <w:rFonts w:hint="eastAsia" w:asciiTheme="majorEastAsia" w:hAnsiTheme="majorEastAsia" w:eastAsiaTheme="majorEastAsia" w:cstheme="majorEastAsia"/>
        </w:rPr>
      </w:pPr>
      <w:bookmarkStart w:id="215" w:name="_Toc18603110"/>
      <w:bookmarkStart w:id="216" w:name="_Toc11263"/>
      <w:r>
        <w:rPr>
          <w:rFonts w:hint="eastAsia" w:asciiTheme="majorEastAsia" w:hAnsiTheme="majorEastAsia" w:eastAsiaTheme="majorEastAsia" w:cstheme="majorEastAsia"/>
        </w:rPr>
        <w:t>4.1 关于评标活动暂停</w:t>
      </w:r>
      <w:bookmarkEnd w:id="215"/>
      <w:bookmarkEnd w:id="216"/>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4.1.1 评标委员会应当执行连续评标的原则，按评标办法中规定的程序、内容、方法、标准完成全部评标工作。只有发生不可抗力导致评标工作无法继续时，评标活动方可暂停。</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4.1.2 发生评标暂停情况时，评标委员会应当封存全部投标文件和评标记录，待不可抗力的影响结束且具备继续评标的条件时，由原评标委员会继续评标。</w:t>
      </w:r>
    </w:p>
    <w:p>
      <w:pPr>
        <w:pStyle w:val="5"/>
        <w:rPr>
          <w:rFonts w:hint="eastAsia" w:asciiTheme="majorEastAsia" w:hAnsiTheme="majorEastAsia" w:eastAsiaTheme="majorEastAsia" w:cstheme="majorEastAsia"/>
        </w:rPr>
      </w:pPr>
      <w:bookmarkStart w:id="217" w:name="_Toc18603111"/>
      <w:bookmarkStart w:id="218" w:name="_Toc18462"/>
      <w:r>
        <w:rPr>
          <w:rFonts w:hint="eastAsia" w:asciiTheme="majorEastAsia" w:hAnsiTheme="majorEastAsia" w:eastAsiaTheme="majorEastAsia" w:cstheme="majorEastAsia"/>
        </w:rPr>
        <w:t>4.2 关于评标中途更换评标委员会成员</w:t>
      </w:r>
      <w:bookmarkEnd w:id="217"/>
      <w:bookmarkEnd w:id="218"/>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4.2.1 除非发生下列情况之一，评标委员会成员不得在评标中途更换：</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 因不可抗拒的客观原因，不能到场或需在评标中途退出评标活动。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 根据法律法规规定，某个或某几个评标委员会成员需要回避。</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4.2.2 退出评标的评标委员会成员，其已完成的评标行为无效。由招标人根据本招标文件规定的评标委员会成员生产方式另行确定替代者进行评标。</w:t>
      </w:r>
    </w:p>
    <w:p>
      <w:pPr>
        <w:pStyle w:val="5"/>
        <w:rPr>
          <w:rFonts w:hint="eastAsia" w:asciiTheme="majorEastAsia" w:hAnsiTheme="majorEastAsia" w:eastAsiaTheme="majorEastAsia" w:cstheme="majorEastAsia"/>
        </w:rPr>
      </w:pPr>
      <w:bookmarkStart w:id="219" w:name="_Toc18603112"/>
      <w:bookmarkStart w:id="220" w:name="_Toc28302"/>
      <w:r>
        <w:rPr>
          <w:rFonts w:hint="eastAsia" w:asciiTheme="majorEastAsia" w:hAnsiTheme="majorEastAsia" w:eastAsiaTheme="majorEastAsia" w:cstheme="majorEastAsia"/>
        </w:rPr>
        <w:t>4.3 评标争议处理</w:t>
      </w:r>
      <w:bookmarkEnd w:id="219"/>
      <w:bookmarkEnd w:id="220"/>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4.3.1 评标委员会全体成员应独立评审，对所提出的评审意见承担个人责任。</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4.3.2 在任何评标环节中，需评标委员会就某项定性的评审结论做出表决的，由评标委员会全体成员按照少数服从多数的原则，以记名投票方式表决。表决不得违背法律、法规、规章和招标文件的规定。</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4.3.3 评标委员会成员对集体决议或评审结论持有异议的，可以书面阐述其不同意见和理由。拒绝在集体决议或评标报告上签名，且不陈述其不同意见和理由的，视为同意集体决议或评标结论，评标委员会应当对此在评标报告中做出说明。</w:t>
      </w:r>
    </w:p>
    <w:p>
      <w:pPr>
        <w:pStyle w:val="4"/>
        <w:rPr>
          <w:rFonts w:hint="eastAsia" w:asciiTheme="majorEastAsia" w:hAnsiTheme="majorEastAsia" w:eastAsiaTheme="majorEastAsia" w:cstheme="majorEastAsia"/>
        </w:rPr>
      </w:pPr>
      <w:bookmarkStart w:id="221" w:name="_Toc13835"/>
      <w:bookmarkStart w:id="222" w:name="_Toc1087"/>
      <w:bookmarkStart w:id="223" w:name="_Toc522293525"/>
      <w:r>
        <w:rPr>
          <w:rFonts w:hint="eastAsia" w:asciiTheme="majorEastAsia" w:hAnsiTheme="majorEastAsia" w:eastAsiaTheme="majorEastAsia" w:cstheme="majorEastAsia"/>
        </w:rPr>
        <w:t>5. 补充条款</w:t>
      </w:r>
      <w:bookmarkEnd w:id="221"/>
      <w:bookmarkEnd w:id="222"/>
      <w:bookmarkEnd w:id="223"/>
    </w:p>
    <w:p>
      <w:pPr>
        <w:rPr>
          <w:rFonts w:hint="eastAsia" w:asciiTheme="majorEastAsia" w:hAnsiTheme="majorEastAsia" w:eastAsiaTheme="majorEastAsia" w:cstheme="majorEastAsia"/>
        </w:rPr>
      </w:pPr>
      <w:bookmarkStart w:id="224" w:name="EBc7bd10bc363a411c8a388fc52443158e"/>
      <w:bookmarkEnd w:id="224"/>
    </w:p>
    <w:p>
      <w:pPr>
        <w:pStyle w:val="3"/>
        <w:pageBreakBefore/>
        <w:rPr>
          <w:rFonts w:hint="eastAsia" w:asciiTheme="majorEastAsia" w:hAnsiTheme="majorEastAsia" w:eastAsiaTheme="majorEastAsia" w:cstheme="majorEastAsia"/>
        </w:rPr>
      </w:pPr>
      <w:bookmarkStart w:id="225" w:name="_Toc522293526"/>
      <w:bookmarkStart w:id="226" w:name="_Toc23437"/>
      <w:bookmarkStart w:id="227" w:name="_Toc31705"/>
      <w:r>
        <w:rPr>
          <w:rFonts w:hint="eastAsia" w:asciiTheme="majorEastAsia" w:hAnsiTheme="majorEastAsia" w:eastAsiaTheme="majorEastAsia" w:cstheme="majorEastAsia"/>
        </w:rPr>
        <w:t>第四章  合同条款及格式</w:t>
      </w:r>
      <w:bookmarkEnd w:id="225"/>
      <w:bookmarkEnd w:id="226"/>
      <w:bookmarkEnd w:id="227"/>
    </w:p>
    <w:p>
      <w:pPr>
        <w:widowControl/>
        <w:jc w:val="center"/>
        <w:rPr>
          <w:rFonts w:hint="eastAsia" w:asciiTheme="majorEastAsia" w:hAnsiTheme="majorEastAsia" w:eastAsiaTheme="majorEastAsia" w:cstheme="majorEastAsia"/>
          <w:b/>
          <w:sz w:val="44"/>
          <w:szCs w:val="44"/>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r>
        <w:rPr>
          <w:rFonts w:hint="eastAsia" w:asciiTheme="majorEastAsia" w:hAnsiTheme="majorEastAsia" w:eastAsiaTheme="majorEastAsia" w:cstheme="majorEastAsia"/>
          <w:b/>
          <w:sz w:val="40"/>
          <w:szCs w:val="40"/>
        </w:rPr>
        <w:t>宜昌交运集团客运有限公司客运一分公司</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r>
        <w:rPr>
          <w:rFonts w:hint="eastAsia" w:asciiTheme="majorEastAsia" w:hAnsiTheme="majorEastAsia" w:eastAsiaTheme="majorEastAsia" w:cstheme="majorEastAsia"/>
          <w:b/>
          <w:sz w:val="40"/>
          <w:szCs w:val="40"/>
          <w:lang w:val="zh-CN"/>
        </w:rPr>
        <w:t>客车修理厂客车轮胎采购</w:t>
      </w:r>
    </w:p>
    <w:p>
      <w:pPr>
        <w:spacing w:before="240" w:line="560" w:lineRule="exact"/>
        <w:jc w:val="center"/>
        <w:rPr>
          <w:rFonts w:hint="eastAsia" w:asciiTheme="majorEastAsia" w:hAnsiTheme="majorEastAsia" w:eastAsiaTheme="majorEastAsia" w:cstheme="majorEastAsia"/>
          <w:b/>
          <w:sz w:val="44"/>
          <w:szCs w:val="44"/>
        </w:rPr>
      </w:pPr>
    </w:p>
    <w:p>
      <w:pPr>
        <w:spacing w:before="240"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供</w:t>
      </w:r>
    </w:p>
    <w:p>
      <w:pPr>
        <w:spacing w:before="240" w:line="560" w:lineRule="exact"/>
        <w:jc w:val="center"/>
        <w:rPr>
          <w:rFonts w:hint="eastAsia" w:asciiTheme="majorEastAsia" w:hAnsiTheme="majorEastAsia" w:eastAsiaTheme="majorEastAsia" w:cstheme="majorEastAsia"/>
          <w:b/>
          <w:sz w:val="44"/>
          <w:szCs w:val="44"/>
        </w:rPr>
      </w:pPr>
    </w:p>
    <w:p>
      <w:pPr>
        <w:spacing w:before="240"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货</w:t>
      </w:r>
    </w:p>
    <w:p>
      <w:pPr>
        <w:spacing w:before="240" w:line="560" w:lineRule="exact"/>
        <w:jc w:val="center"/>
        <w:rPr>
          <w:rFonts w:hint="eastAsia" w:asciiTheme="majorEastAsia" w:hAnsiTheme="majorEastAsia" w:eastAsiaTheme="majorEastAsia" w:cstheme="majorEastAsia"/>
          <w:b/>
          <w:sz w:val="44"/>
          <w:szCs w:val="44"/>
        </w:rPr>
      </w:pPr>
    </w:p>
    <w:p>
      <w:pPr>
        <w:spacing w:before="240"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合</w:t>
      </w:r>
    </w:p>
    <w:p>
      <w:pPr>
        <w:spacing w:before="240" w:line="560" w:lineRule="exact"/>
        <w:jc w:val="center"/>
        <w:rPr>
          <w:rFonts w:hint="eastAsia" w:asciiTheme="majorEastAsia" w:hAnsiTheme="majorEastAsia" w:eastAsiaTheme="majorEastAsia" w:cstheme="majorEastAsia"/>
          <w:b/>
          <w:sz w:val="44"/>
          <w:szCs w:val="44"/>
        </w:rPr>
      </w:pPr>
    </w:p>
    <w:p>
      <w:pPr>
        <w:spacing w:before="240"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同</w:t>
      </w:r>
    </w:p>
    <w:p>
      <w:pPr>
        <w:spacing w:line="560" w:lineRule="exact"/>
        <w:jc w:val="left"/>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spacing w:line="560" w:lineRule="exact"/>
        <w:ind w:firstLine="1200" w:firstLineChars="400"/>
        <w:jc w:val="left"/>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甲方：宜昌交运集团客运有限公司客运一分公司</w:t>
      </w:r>
    </w:p>
    <w:p>
      <w:pPr>
        <w:spacing w:line="560" w:lineRule="exact"/>
        <w:ind w:firstLine="1200" w:firstLineChars="400"/>
        <w:jc w:val="left"/>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 xml:space="preserve">乙方： </w:t>
      </w:r>
    </w:p>
    <w:p>
      <w:pPr>
        <w:spacing w:line="560" w:lineRule="exact"/>
        <w:ind w:firstLine="1200" w:firstLineChars="400"/>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日期：      年  月  日</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bookmarkStart w:id="228" w:name="_Toc482390559"/>
      <w:bookmarkStart w:id="229" w:name="_Toc484129885"/>
      <w:bookmarkStart w:id="230" w:name="_Toc482390686"/>
      <w:bookmarkStart w:id="231" w:name="_Toc505952924"/>
      <w:bookmarkStart w:id="232" w:name="_Toc18484"/>
      <w:bookmarkStart w:id="233" w:name="_Toc522293544"/>
      <w:r>
        <w:rPr>
          <w:rFonts w:hint="eastAsia" w:asciiTheme="majorEastAsia" w:hAnsiTheme="majorEastAsia" w:eastAsiaTheme="majorEastAsia" w:cstheme="majorEastAsia"/>
          <w:bCs/>
          <w:color w:val="000000"/>
          <w:kern w:val="0"/>
          <w:sz w:val="24"/>
          <w:szCs w:val="24"/>
        </w:rPr>
        <w:t>（根据《中华人民共和国</w:t>
      </w:r>
      <w:r>
        <w:rPr>
          <w:rFonts w:hint="eastAsia" w:asciiTheme="majorEastAsia" w:hAnsiTheme="majorEastAsia" w:eastAsiaTheme="majorEastAsia" w:cstheme="majorEastAsia"/>
          <w:bCs/>
          <w:color w:val="000000"/>
          <w:kern w:val="0"/>
          <w:sz w:val="24"/>
          <w:szCs w:val="24"/>
          <w:lang w:eastAsia="zh-CN"/>
        </w:rPr>
        <w:t>招标投标法</w:t>
      </w:r>
      <w:r>
        <w:rPr>
          <w:rFonts w:hint="eastAsia" w:asciiTheme="majorEastAsia" w:hAnsiTheme="majorEastAsia" w:eastAsiaTheme="majorEastAsia" w:cstheme="majorEastAsia"/>
          <w:bCs/>
          <w:color w:val="000000"/>
          <w:kern w:val="0"/>
          <w:sz w:val="24"/>
          <w:szCs w:val="24"/>
        </w:rPr>
        <w:t>》和《中华人民共和国</w:t>
      </w:r>
      <w:r>
        <w:rPr>
          <w:rFonts w:hint="eastAsia" w:asciiTheme="majorEastAsia" w:hAnsiTheme="majorEastAsia" w:eastAsiaTheme="majorEastAsia" w:cstheme="majorEastAsia"/>
          <w:bCs/>
          <w:color w:val="000000"/>
          <w:kern w:val="0"/>
          <w:sz w:val="24"/>
          <w:szCs w:val="24"/>
          <w:lang w:eastAsia="zh-CN"/>
        </w:rPr>
        <w:t>民法典</w:t>
      </w:r>
      <w:r>
        <w:rPr>
          <w:rFonts w:hint="eastAsia" w:asciiTheme="majorEastAsia" w:hAnsiTheme="majorEastAsia" w:eastAsiaTheme="majorEastAsia" w:cstheme="majorEastAsia"/>
          <w:bCs/>
          <w:color w:val="000000"/>
          <w:kern w:val="0"/>
          <w:sz w:val="24"/>
          <w:szCs w:val="24"/>
        </w:rPr>
        <w:t>》。招标人和投标人之间的权利和义务，应当按照平等的原则以合同方式约定。此合同书仅作为签订正式合同时的参考，正式合同书应包括本参考格式之内容。）</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bookmarkStart w:id="234" w:name="_Toc15796_WPSOffice_Level2"/>
      <w:r>
        <w:rPr>
          <w:rFonts w:hint="eastAsia" w:asciiTheme="majorEastAsia" w:hAnsiTheme="majorEastAsia" w:eastAsiaTheme="majorEastAsia" w:cstheme="majorEastAsia"/>
          <w:b/>
          <w:color w:val="000000"/>
          <w:kern w:val="0"/>
          <w:sz w:val="24"/>
          <w:szCs w:val="24"/>
        </w:rPr>
        <w:t>1.合同文件</w:t>
      </w:r>
      <w:bookmarkEnd w:id="234"/>
    </w:p>
    <w:p>
      <w:pPr>
        <w:spacing w:line="44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本合同所附下列文件是构成本合同不可分割的部分：</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(1)采购文件</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(2)合同条款</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(3)成交供应商提交的响应文件</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(4)技术规格</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(5)成交通知书</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bookmarkStart w:id="235" w:name="_Toc11517_WPSOffice_Level2"/>
      <w:r>
        <w:rPr>
          <w:rFonts w:hint="eastAsia" w:asciiTheme="majorEastAsia" w:hAnsiTheme="majorEastAsia" w:eastAsiaTheme="majorEastAsia" w:cstheme="majorEastAsia"/>
          <w:b/>
          <w:color w:val="000000"/>
          <w:kern w:val="0"/>
          <w:sz w:val="24"/>
          <w:szCs w:val="24"/>
        </w:rPr>
        <w:t>2.合同范围和条件</w:t>
      </w:r>
      <w:bookmarkEnd w:id="235"/>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本合同的范围和条件与上述文件的规定相一致。</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bookmarkStart w:id="236" w:name="_Toc29158_WPSOffice_Level2"/>
      <w:r>
        <w:rPr>
          <w:rFonts w:hint="eastAsia" w:asciiTheme="majorEastAsia" w:hAnsiTheme="majorEastAsia" w:eastAsiaTheme="majorEastAsia" w:cstheme="majorEastAsia"/>
          <w:b/>
          <w:color w:val="000000"/>
          <w:kern w:val="0"/>
          <w:sz w:val="24"/>
          <w:szCs w:val="24"/>
        </w:rPr>
        <w:t>3.货物及数量</w:t>
      </w:r>
      <w:bookmarkEnd w:id="236"/>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本合同所提供的货物数量详见磋商文件“第五章商务及技术要求”。</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bookmarkStart w:id="237" w:name="_Toc9363_WPSOffice_Level2"/>
      <w:r>
        <w:rPr>
          <w:rFonts w:hint="eastAsia" w:asciiTheme="majorEastAsia" w:hAnsiTheme="majorEastAsia" w:eastAsiaTheme="majorEastAsia" w:cstheme="majorEastAsia"/>
          <w:b/>
          <w:color w:val="000000"/>
          <w:kern w:val="0"/>
          <w:sz w:val="24"/>
          <w:szCs w:val="24"/>
        </w:rPr>
        <w:t>4.合同金额</w:t>
      </w:r>
      <w:bookmarkEnd w:id="237"/>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合同总金额为</w:t>
      </w:r>
      <w:r>
        <w:rPr>
          <w:rFonts w:hint="eastAsia" w:asciiTheme="majorEastAsia" w:hAnsiTheme="majorEastAsia" w:eastAsiaTheme="majorEastAsia" w:cstheme="majorEastAsia"/>
          <w:bCs/>
          <w:color w:val="000000"/>
          <w:kern w:val="0"/>
          <w:sz w:val="24"/>
          <w:szCs w:val="24"/>
          <w:u w:val="single"/>
        </w:rPr>
        <w:t xml:space="preserve">             </w:t>
      </w:r>
      <w:r>
        <w:rPr>
          <w:rFonts w:hint="eastAsia" w:asciiTheme="majorEastAsia" w:hAnsiTheme="majorEastAsia" w:eastAsiaTheme="majorEastAsia" w:cstheme="majorEastAsia"/>
          <w:bCs/>
          <w:color w:val="000000"/>
          <w:kern w:val="0"/>
          <w:sz w:val="24"/>
          <w:szCs w:val="24"/>
        </w:rPr>
        <w:t>元人民币，分项价格见响应文件按报价明细表。</w:t>
      </w:r>
    </w:p>
    <w:p>
      <w:pPr>
        <w:spacing w:line="440" w:lineRule="exact"/>
        <w:ind w:firstLine="482" w:firstLineChars="200"/>
        <w:jc w:val="left"/>
        <w:rPr>
          <w:rFonts w:hint="eastAsia" w:asciiTheme="majorEastAsia" w:hAnsiTheme="majorEastAsia" w:eastAsiaTheme="majorEastAsia" w:cstheme="majorEastAsia"/>
          <w:b/>
          <w:color w:val="000000"/>
          <w:sz w:val="24"/>
          <w:szCs w:val="24"/>
        </w:rPr>
      </w:pPr>
      <w:bookmarkStart w:id="238" w:name="_Toc6979_WPSOffice_Level2"/>
      <w:r>
        <w:rPr>
          <w:rFonts w:hint="eastAsia" w:asciiTheme="majorEastAsia" w:hAnsiTheme="majorEastAsia" w:eastAsiaTheme="majorEastAsia" w:cstheme="majorEastAsia"/>
          <w:b/>
          <w:color w:val="000000"/>
          <w:sz w:val="24"/>
          <w:szCs w:val="24"/>
        </w:rPr>
        <w:t>5.合同生效及支付条件和方式</w:t>
      </w:r>
      <w:bookmarkEnd w:id="238"/>
    </w:p>
    <w:p>
      <w:pPr>
        <w:spacing w:line="440" w:lineRule="exact"/>
        <w:ind w:firstLine="480" w:firstLineChars="200"/>
        <w:jc w:val="left"/>
        <w:rPr>
          <w:rFonts w:hint="eastAsia" w:asciiTheme="majorEastAsia" w:hAnsiTheme="majorEastAsia" w:eastAsiaTheme="majorEastAsia" w:cstheme="majorEastAsia"/>
          <w:bCs/>
          <w:color w:val="000000"/>
          <w:sz w:val="24"/>
          <w:szCs w:val="24"/>
          <w:u w:val="single"/>
        </w:rPr>
      </w:pPr>
      <w:bookmarkStart w:id="239" w:name="_Toc4667_WPSOffice_Level2"/>
      <w:r>
        <w:rPr>
          <w:rFonts w:hint="eastAsia" w:asciiTheme="majorEastAsia" w:hAnsiTheme="majorEastAsia" w:eastAsiaTheme="majorEastAsia" w:cstheme="majorEastAsia"/>
          <w:bCs/>
          <w:color w:val="000000"/>
          <w:sz w:val="24"/>
          <w:szCs w:val="24"/>
          <w:u w:val="single"/>
        </w:rPr>
        <w:t>货物分批次送达指定地点后，经招标人验收合格，按月支付实际使用货物的全部价款。</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6.交货时间和交货地点</w:t>
      </w:r>
      <w:bookmarkEnd w:id="239"/>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本合同货物的交货时间和交货地点按磋商文件“第五章商务及技术要求”执行。</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color w:val="000000"/>
          <w:kern w:val="0"/>
          <w:sz w:val="24"/>
          <w:szCs w:val="24"/>
        </w:rPr>
        <w:t xml:space="preserve">招标人（盖章）：                   </w:t>
      </w:r>
      <w:r>
        <w:rPr>
          <w:rFonts w:hint="eastAsia" w:asciiTheme="majorEastAsia" w:hAnsiTheme="majorEastAsia" w:eastAsiaTheme="majorEastAsia" w:cstheme="majorEastAsia"/>
          <w:color w:val="000000"/>
          <w:kern w:val="0"/>
          <w:sz w:val="24"/>
          <w:szCs w:val="24"/>
        </w:rPr>
        <w:tab/>
      </w:r>
      <w:r>
        <w:rPr>
          <w:rFonts w:hint="eastAsia" w:asciiTheme="majorEastAsia" w:hAnsiTheme="majorEastAsia" w:eastAsiaTheme="majorEastAsia" w:cstheme="majorEastAsia"/>
          <w:color w:val="000000"/>
          <w:kern w:val="0"/>
          <w:sz w:val="24"/>
          <w:szCs w:val="24"/>
        </w:rPr>
        <w:t xml:space="preserve">  </w:t>
      </w:r>
      <w:r>
        <w:rPr>
          <w:rFonts w:hint="eastAsia" w:asciiTheme="majorEastAsia" w:hAnsiTheme="majorEastAsia" w:eastAsiaTheme="majorEastAsia" w:cstheme="majorEastAsia"/>
          <w:bCs/>
          <w:color w:val="000000"/>
          <w:kern w:val="0"/>
          <w:sz w:val="24"/>
          <w:szCs w:val="24"/>
        </w:rPr>
        <w:t>供货方（盖章）：</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单位地址：</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单位地址：</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法人代表授权人(签字)：</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法人代表授权人(签字)：</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联 系 人：</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联 系 人：</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电　　话：</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电　　话：</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传　　真：</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传　　真：</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邮政编码：</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邮政编码：</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开户银行：</w:t>
      </w:r>
      <w:r>
        <w:rPr>
          <w:rFonts w:hint="eastAsia" w:asciiTheme="majorEastAsia" w:hAnsiTheme="majorEastAsia" w:eastAsiaTheme="majorEastAsia" w:cstheme="majorEastAsia"/>
          <w:color w:val="000000"/>
          <w:kern w:val="0"/>
          <w:sz w:val="24"/>
          <w:szCs w:val="24"/>
        </w:rPr>
        <w:tab/>
      </w:r>
      <w:r>
        <w:rPr>
          <w:rFonts w:hint="eastAsia" w:asciiTheme="majorEastAsia" w:hAnsiTheme="majorEastAsia" w:eastAsiaTheme="majorEastAsia" w:cstheme="majorEastAsia"/>
          <w:color w:val="000000"/>
          <w:kern w:val="0"/>
          <w:sz w:val="24"/>
          <w:szCs w:val="24"/>
        </w:rPr>
        <w:t xml:space="preserve">                           开户银行：</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帐　　号：</w:t>
      </w:r>
      <w:r>
        <w:rPr>
          <w:rFonts w:hint="eastAsia" w:asciiTheme="majorEastAsia" w:hAnsiTheme="majorEastAsia" w:eastAsiaTheme="majorEastAsia" w:cstheme="majorEastAsia"/>
          <w:color w:val="000000"/>
          <w:kern w:val="0"/>
          <w:sz w:val="24"/>
          <w:szCs w:val="24"/>
        </w:rPr>
        <w:tab/>
      </w:r>
      <w:r>
        <w:rPr>
          <w:rFonts w:hint="eastAsia" w:asciiTheme="majorEastAsia" w:hAnsiTheme="majorEastAsia" w:eastAsiaTheme="majorEastAsia" w:cstheme="majorEastAsia"/>
          <w:color w:val="000000"/>
          <w:kern w:val="0"/>
          <w:sz w:val="24"/>
          <w:szCs w:val="24"/>
        </w:rPr>
        <w:t xml:space="preserve">                           帐　　号：</w:t>
      </w:r>
    </w:p>
    <w:p>
      <w:pPr>
        <w:spacing w:line="500" w:lineRule="exact"/>
        <w:ind w:firstLine="3648" w:firstLineChars="700"/>
        <w:rPr>
          <w:rFonts w:hint="eastAsia" w:asciiTheme="majorEastAsia" w:hAnsiTheme="majorEastAsia" w:eastAsiaTheme="majorEastAsia" w:cstheme="majorEastAsia"/>
          <w:b/>
          <w:color w:val="000000"/>
          <w:kern w:val="0"/>
          <w:sz w:val="28"/>
          <w:szCs w:val="28"/>
        </w:rPr>
      </w:pPr>
      <w:r>
        <w:rPr>
          <w:rFonts w:hint="eastAsia" w:asciiTheme="majorEastAsia" w:hAnsiTheme="majorEastAsia" w:eastAsiaTheme="majorEastAsia" w:cstheme="majorEastAsia"/>
          <w:b/>
          <w:color w:val="000000"/>
          <w:spacing w:val="120"/>
          <w:kern w:val="0"/>
          <w:sz w:val="28"/>
          <w:szCs w:val="28"/>
        </w:rPr>
        <w:t>合同条</w:t>
      </w:r>
      <w:r>
        <w:rPr>
          <w:rFonts w:hint="eastAsia" w:asciiTheme="majorEastAsia" w:hAnsiTheme="majorEastAsia" w:eastAsiaTheme="majorEastAsia" w:cstheme="majorEastAsia"/>
          <w:b/>
          <w:color w:val="000000"/>
          <w:kern w:val="0"/>
          <w:sz w:val="28"/>
          <w:szCs w:val="28"/>
        </w:rPr>
        <w:t>款</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1．有关概念</w:t>
      </w:r>
    </w:p>
    <w:p>
      <w:pPr>
        <w:spacing w:line="46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本合同下列术语应解释为：</w:t>
      </w:r>
    </w:p>
    <w:p>
      <w:pPr>
        <w:spacing w:line="46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color w:val="000000"/>
          <w:sz w:val="24"/>
          <w:szCs w:val="24"/>
        </w:rPr>
        <w:t>1.1</w:t>
      </w:r>
      <w:r>
        <w:rPr>
          <w:rFonts w:hint="eastAsia" w:asciiTheme="majorEastAsia" w:hAnsiTheme="majorEastAsia" w:eastAsiaTheme="majorEastAsia" w:cstheme="majorEastAsia"/>
          <w:bCs/>
          <w:color w:val="000000"/>
          <w:sz w:val="24"/>
          <w:szCs w:val="24"/>
        </w:rPr>
        <w:t>“合同”，系指买供双方签署的、合同格式中载明的买供双方所达成的协议，包括所有的附件、附录和上述文件所提到的构成合同的所有文件。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1.2“合同价”，系指根据合同规定供方在正确地履行合同义务后招标人应支付给供方的价格。</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1.3“货物”，系指供方根据合同规定须向招标人提供的各种形态和种类的物品，包括产品、设备、配件等。</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1.4“服务”，系指伴随本项目产生的，根据合同规定由供方承担的与供货有关的辅助服务，例如安装、调试、技术援助、培训、售后服务等以及合同中规定供方应承担的所有其它类似义务。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1.5“招标人”，系指磋商文件中所述购买货物和服务的单位。</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1.6“供方”，系指磋商文件中所述提供货物和服务的公司或实体，亦即成交供应商。</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1.7“天”，系日历天数。</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2．技术规格</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2.1交付货物的技术规格应与响应文件规定的技术规格以及所附的技术规格响应表相一致。</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2.2除技术规格另有规定外，计量单位均使用中华人民共和国法定计量单位。</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3．专利权</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3.1供方应保证招标人在使用该货物或其任何一部分时免受第三方提出侵犯其专利权、商标权或工业设计权的起诉。若由此出现侵权诉讼，由供方承担全部责任。</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3.2供方按合同要求为招标人提交的设计方案，其所有权、使用权等所有权力均转为招标人所拥有，供方放弃拥有关于设计方案的所有权力。</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4.包装要求</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4.1除合同另有规定外，供方提供的所有单独包装的货物都应具有原始的、完好的标准包装。如遇交付前已拆封货物，招标人有权拒绝接受或要求更换。</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4.2每个包装箱内的装箱清单、使用说明书、质量证书、保修卡及使用说明等所有资料均须齐全。</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5. 装运条件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5.1供方负责安排运输，运输费由供方承担。</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5.2提单日期应视为实际交货日期。</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5.3供方装运的货物不得超过合同规定的数量或重量。否则，供方应对超运数量或重量而产生的一切后果负责。</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6. 付款</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6.1本合同以人民币支付。</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6.2供方按照合同规定交货。交货后供方把下列单据提交给招标人,招标人按合同规定审核后办理付款手续：</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（1）发票</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（2）质量证书</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（3）详细配置、数量清单</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（4）检验报告</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6.3招标人按合同规定的合同生效及支付条件和方式安排付款。</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7．伴随服务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7.1供方随同货物提交所供货物的技术资料。包括相应每套货物的中文技术文件，如：产品目录、操作手册、使用说明、维护手册或服务指南等。</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7.2供方应提供下列服务：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（1）货物的现场安装和启动监督；</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（2）提供货物组装和维修所必须的工具；</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（3）在项目现场就货物的安装、启动、运行和维护，按招标人的要求提供技术培训。</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7.3伴随服务的费用含在合同价中，不另行支付。</w:t>
      </w:r>
    </w:p>
    <w:p>
      <w:pPr>
        <w:spacing w:line="460" w:lineRule="exact"/>
        <w:ind w:firstLine="480"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Cs/>
          <w:color w:val="000000"/>
          <w:sz w:val="24"/>
          <w:szCs w:val="24"/>
        </w:rPr>
        <w:t>8.</w:t>
      </w:r>
      <w:r>
        <w:rPr>
          <w:rFonts w:hint="eastAsia" w:asciiTheme="majorEastAsia" w:hAnsiTheme="majorEastAsia" w:eastAsiaTheme="majorEastAsia" w:cstheme="majorEastAsia"/>
          <w:b/>
          <w:color w:val="000000"/>
          <w:sz w:val="24"/>
          <w:szCs w:val="24"/>
        </w:rPr>
        <w:t>备品备件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8.1</w:t>
      </w:r>
      <w:r>
        <w:rPr>
          <w:rFonts w:hint="eastAsia" w:asciiTheme="majorEastAsia" w:hAnsiTheme="majorEastAsia" w:eastAsiaTheme="majorEastAsia" w:cstheme="majorEastAsia"/>
          <w:color w:val="000000"/>
          <w:sz w:val="24"/>
          <w:szCs w:val="24"/>
        </w:rPr>
        <w:t>供</w:t>
      </w:r>
      <w:r>
        <w:rPr>
          <w:rFonts w:hint="eastAsia" w:asciiTheme="majorEastAsia" w:hAnsiTheme="majorEastAsia" w:eastAsiaTheme="majorEastAsia" w:cstheme="majorEastAsia"/>
          <w:bCs/>
          <w:color w:val="000000"/>
          <w:sz w:val="24"/>
          <w:szCs w:val="24"/>
        </w:rPr>
        <w:t>方可能被要</w:t>
      </w:r>
      <w:r>
        <w:rPr>
          <w:rFonts w:hint="eastAsia" w:asciiTheme="majorEastAsia" w:hAnsiTheme="majorEastAsia" w:eastAsiaTheme="majorEastAsia" w:cstheme="majorEastAsia"/>
          <w:color w:val="000000"/>
          <w:sz w:val="24"/>
          <w:szCs w:val="24"/>
        </w:rPr>
        <w:t>求提供下列与备件有关的材料、通知和资料：</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（1）采购方从供方选购备件，但前提条件是该选购并不能免除供方在合同保证期内所承担的义务；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（2）在备件停止生产的情况下，供方应事先将要停止生产的计划通知买方有足够的时间采购所需的备件；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（3）在备件停止生产后，如果采购方要求，供方应免费向采购方提供备件的蓝图、图纸和规格。</w:t>
      </w:r>
    </w:p>
    <w:p>
      <w:pPr>
        <w:tabs>
          <w:tab w:val="left" w:pos="-540"/>
          <w:tab w:val="left" w:pos="0"/>
          <w:tab w:val="left" w:pos="420"/>
          <w:tab w:val="left" w:pos="840"/>
          <w:tab w:val="left" w:pos="1260"/>
          <w:tab w:val="left" w:pos="1680"/>
          <w:tab w:val="left" w:pos="2250"/>
        </w:tabs>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9、质量保证及售后服务</w:t>
      </w:r>
    </w:p>
    <w:p>
      <w:pPr>
        <w:tabs>
          <w:tab w:val="left" w:pos="-540"/>
          <w:tab w:val="left" w:pos="0"/>
          <w:tab w:val="left" w:pos="420"/>
          <w:tab w:val="left" w:pos="840"/>
          <w:tab w:val="left" w:pos="1260"/>
          <w:tab w:val="left" w:pos="1680"/>
          <w:tab w:val="left" w:pos="2250"/>
        </w:tabs>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（一）质量保证</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9.1供方保证所提供的货物是全新的、未使用过的，是完全符合合同规定的质量、规格和性能要求的。保证货物在正常使用和保养条件下，在其使用寿命内具有满意的性能。在质保期内供方免费提供货物正常使用情况下发生故障的维修服务和更换配件服务。在供方或制造商承诺的货物质量保证期内，供方对由于设计工艺或材料的缺陷而产生的故障负责；货物无质保期的，供方在两年内对由于设计工艺或材料的缺陷而产生的故障负责。</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9.2在质保期内或货物无质保期的则在两年内，如果货物的数量、质量或规格与合同不符，或证实货物有缺陷的，招标人可尽快以书面形式向供方提出本保证下的索赔。</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9.3供方在收到索赔通知后十日内须免费更换有缺陷的货物或部件。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9.4供方在收到索赔通知后十日内没有弥补缺陷，招标人可采取必要的补救措施，其风险和费用将由供方承担，招标人根据合同规定向供方行使的其它权利不受影响。</w:t>
      </w:r>
    </w:p>
    <w:p>
      <w:pPr>
        <w:tabs>
          <w:tab w:val="left" w:pos="-540"/>
          <w:tab w:val="left" w:pos="0"/>
          <w:tab w:val="left" w:pos="420"/>
          <w:tab w:val="left" w:pos="840"/>
          <w:tab w:val="left" w:pos="1260"/>
          <w:tab w:val="left" w:pos="1680"/>
          <w:tab w:val="left" w:pos="2250"/>
        </w:tabs>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(二)质量保证期后服务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9.5 质保期满后，若有零部件出现故障，经权威部门鉴定属于寿命异常问题（明显短于该零部件正常寿命时），则由供方负责免费更换及维修。</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9.6 质保期满后，应采购方要求，供方应按投标时的价格与采购方签订定期维修保养合同及提供采购方所需零配件，若投标时的价格高于市场价，则按市场价与与采购方签订定期维修保养合同及提供采购方所需零配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9.7 乙方交货后，若设备发生故障，乙方应在甲方报修后24小时内到达。</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10．检验</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10.1在交货前，供方应对货物的质量、规格、性能、数量等进行详细全面的检验，并出具一份证明货物符合合同规定要求的检验报告。检验报告是付款必要的文件组成部分，但不作为对有关质量、规格、数量的最终检验。</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10.2货物交付后，招标人申请有关部门对货物的质量、数量等进行检验并出具检验证书。</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11．索赔</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1</w:t>
      </w:r>
      <w:r>
        <w:rPr>
          <w:rFonts w:hint="eastAsia" w:asciiTheme="majorEastAsia" w:hAnsiTheme="majorEastAsia" w:eastAsiaTheme="majorEastAsia" w:cstheme="majorEastAsia"/>
          <w:color w:val="000000"/>
          <w:sz w:val="24"/>
          <w:szCs w:val="24"/>
        </w:rPr>
        <w:t>1.1招标人有权根据有关部门出具的检验证书向供方提出索赔。</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11.2在合同条款第8条规定的质保期内，如果供方对差异负有责任而招标人提出索赔，供方应按照招标人的损失程度进行赔偿。</w:t>
      </w:r>
    </w:p>
    <w:p>
      <w:pPr>
        <w:spacing w:line="46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12．供方履约延误</w:t>
      </w:r>
    </w:p>
    <w:p>
      <w:pPr>
        <w:spacing w:line="46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12.1</w:t>
      </w:r>
      <w:r>
        <w:rPr>
          <w:rFonts w:hint="eastAsia" w:asciiTheme="majorEastAsia" w:hAnsiTheme="majorEastAsia" w:eastAsiaTheme="majorEastAsia" w:cstheme="majorEastAsia"/>
          <w:color w:val="000000"/>
          <w:sz w:val="24"/>
          <w:szCs w:val="24"/>
        </w:rPr>
        <w:t>供</w:t>
      </w:r>
      <w:r>
        <w:rPr>
          <w:rFonts w:hint="eastAsia" w:asciiTheme="majorEastAsia" w:hAnsiTheme="majorEastAsia" w:eastAsiaTheme="majorEastAsia" w:cstheme="majorEastAsia"/>
          <w:bCs/>
          <w:color w:val="000000"/>
          <w:sz w:val="24"/>
          <w:szCs w:val="24"/>
        </w:rPr>
        <w:t>方应</w:t>
      </w:r>
      <w:r>
        <w:rPr>
          <w:rFonts w:hint="eastAsia" w:asciiTheme="majorEastAsia" w:hAnsiTheme="majorEastAsia" w:eastAsiaTheme="majorEastAsia" w:cstheme="majorEastAsia"/>
          <w:color w:val="000000"/>
          <w:sz w:val="24"/>
          <w:szCs w:val="24"/>
        </w:rPr>
        <w:t>按规定</w:t>
      </w:r>
      <w:r>
        <w:rPr>
          <w:rFonts w:hint="eastAsia" w:asciiTheme="majorEastAsia" w:hAnsiTheme="majorEastAsia" w:eastAsiaTheme="majorEastAsia" w:cstheme="majorEastAsia"/>
          <w:bCs/>
          <w:color w:val="000000"/>
          <w:sz w:val="24"/>
          <w:szCs w:val="24"/>
        </w:rPr>
        <w:t>的时间交货和提供服务。</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bCs/>
          <w:color w:val="000000"/>
          <w:kern w:val="0"/>
          <w:sz w:val="24"/>
          <w:szCs w:val="24"/>
        </w:rPr>
        <w:t>12.2如</w:t>
      </w:r>
      <w:r>
        <w:rPr>
          <w:rFonts w:hint="eastAsia" w:asciiTheme="majorEastAsia" w:hAnsiTheme="majorEastAsia" w:eastAsiaTheme="majorEastAsia" w:cstheme="majorEastAsia"/>
          <w:color w:val="000000"/>
          <w:kern w:val="0"/>
          <w:sz w:val="24"/>
          <w:szCs w:val="24"/>
        </w:rPr>
        <w:t>供方无正当理由而拖延交货，招标人将从货款中扣除误期赔偿费而不影响合同项下的其他补救方法，赔偿费按每周迟交货物交货价或未提供服务费用的百分之一（1%）计收，直至交货或提供服务为止。误期赔偿费的最高限额不超过误期货物或服务合同价的百分之五（5%）。一周按七（7）天计算，不足七（7）天按一周计算。一旦达到误期赔偿费的最高限额，招标人有权终止合同。</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12.3在履行</w:t>
      </w:r>
      <w:r>
        <w:rPr>
          <w:rFonts w:hint="eastAsia" w:asciiTheme="majorEastAsia" w:hAnsiTheme="majorEastAsia" w:eastAsiaTheme="majorEastAsia" w:cstheme="majorEastAsia"/>
          <w:color w:val="000000"/>
          <w:sz w:val="24"/>
          <w:szCs w:val="24"/>
        </w:rPr>
        <w:t>合同过程中，如果供方遇到可能妨碍按时交货和提供服务的情况时，应及时以书面形式将拖延的事实、可能拖延的期限和理由通知招标人。招标人在收到通知后，要尽快对情况进行评价，并确定是否通过修改合同酌情延长交货时间以及是否收取误期赔偿费。延期应通过修改合同的方式由双方认可。</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12.4供方交付的货物不符合磋商文件、响应文件和本合同规定的，采购方有权拒收，并且供方需向采购方支付本合同总价10%的违约金。</w:t>
      </w:r>
    </w:p>
    <w:p>
      <w:pPr>
        <w:spacing w:line="46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13．不可抗力</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13.1如果双</w:t>
      </w:r>
      <w:r>
        <w:rPr>
          <w:rFonts w:hint="eastAsia" w:asciiTheme="majorEastAsia" w:hAnsiTheme="majorEastAsia" w:eastAsiaTheme="majorEastAsia" w:cstheme="majorEastAsia"/>
          <w:color w:val="000000"/>
          <w:sz w:val="24"/>
          <w:szCs w:val="24"/>
        </w:rPr>
        <w:t>方任何一方由于经双方认可属于不可抗力的事故，致使影响合同履行时，履行合同的期限予以延长，延长的期限应相当于事故所影响的时间。不可抗力事件是指买供双方在缔结合同时所不能预见、并且它的发生及其后果是无法避免及无法克服的事件，比如战争、严重火灾、洪水、台风、地震等。</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13.2受事故影响的一方应在不可抗力发生后尽快以传真、电报通知另一方，并在事故发生后14天内，将有关部门出具的证明文件用特快专递或挂号信寄给另一方。如果不可抗力影响时间延续90天以上时，双方可通过友好协商在合理的时间内达成进一步履行或解除合同的协议。</w:t>
      </w:r>
    </w:p>
    <w:p>
      <w:pPr>
        <w:spacing w:line="46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14．税费</w:t>
      </w:r>
    </w:p>
    <w:p>
      <w:pPr>
        <w:spacing w:line="46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14.1根据现行税法对</w:t>
      </w:r>
      <w:r>
        <w:rPr>
          <w:rFonts w:hint="eastAsia" w:asciiTheme="majorEastAsia" w:hAnsiTheme="majorEastAsia" w:eastAsiaTheme="majorEastAsia" w:cstheme="majorEastAsia"/>
          <w:color w:val="000000"/>
          <w:sz w:val="24"/>
          <w:szCs w:val="24"/>
        </w:rPr>
        <w:t>供</w:t>
      </w:r>
      <w:r>
        <w:rPr>
          <w:rFonts w:hint="eastAsia" w:asciiTheme="majorEastAsia" w:hAnsiTheme="majorEastAsia" w:eastAsiaTheme="majorEastAsia" w:cstheme="majorEastAsia"/>
          <w:bCs/>
          <w:color w:val="000000"/>
          <w:sz w:val="24"/>
          <w:szCs w:val="24"/>
        </w:rPr>
        <w:t>方征收的与本合同有关的一切税费均由</w:t>
      </w:r>
      <w:r>
        <w:rPr>
          <w:rFonts w:hint="eastAsia" w:asciiTheme="majorEastAsia" w:hAnsiTheme="majorEastAsia" w:eastAsiaTheme="majorEastAsia" w:cstheme="majorEastAsia"/>
          <w:color w:val="000000"/>
          <w:sz w:val="24"/>
          <w:szCs w:val="24"/>
        </w:rPr>
        <w:t>供</w:t>
      </w:r>
      <w:r>
        <w:rPr>
          <w:rFonts w:hint="eastAsia" w:asciiTheme="majorEastAsia" w:hAnsiTheme="majorEastAsia" w:eastAsiaTheme="majorEastAsia" w:cstheme="majorEastAsia"/>
          <w:bCs/>
          <w:color w:val="000000"/>
          <w:sz w:val="24"/>
          <w:szCs w:val="24"/>
        </w:rPr>
        <w:t>方负担。</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15．违约终止合同</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15.1出现下列情况之一，招标人在对供方违约而采取的任何补救措施不受影响的情况下，可向供方发出终止部分或全部合同的书面通知书。</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（1）如果供方未能按合同规定的期限或采购人同意延长的限期内提供部分或全部货物（服务）、完成工程施工；</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（2）供方在收到招标人发出的违约通知后20天内，或经招标人书面认可延长的时间内未能纠正其过失；</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（3）如果供方未能履行合同规定的其它任何义务。</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（4）供方未按照投标文件响应提供相依服务承诺的。</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15.2在招标人根据上述第15.1条规定，终止了全部或部分合同后，招标人可以依其认为适当的条件和方法购买类似未交的货物、服务或进行工程施工，供方应对招标人购买类似货物、服务或进行工程施工所超出的费用部分负责，并继续执行合同中未终止部分。</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16．破产终止合同</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16.1如果供</w:t>
      </w:r>
      <w:r>
        <w:rPr>
          <w:rFonts w:hint="eastAsia" w:asciiTheme="majorEastAsia" w:hAnsiTheme="majorEastAsia" w:eastAsiaTheme="majorEastAsia" w:cstheme="majorEastAsia"/>
          <w:color w:val="000000"/>
          <w:kern w:val="0"/>
          <w:sz w:val="24"/>
          <w:szCs w:val="24"/>
        </w:rPr>
        <w:t>方破产或无清偿能力时，招标人可在任何时候以书面形式通知供方终止合同而无须给供方补偿。终止该合同将不损害或影响招标人</w:t>
      </w:r>
      <w:r>
        <w:rPr>
          <w:rFonts w:hint="eastAsia" w:asciiTheme="majorEastAsia" w:hAnsiTheme="majorEastAsia" w:eastAsiaTheme="majorEastAsia" w:cstheme="majorEastAsia"/>
          <w:bCs/>
          <w:color w:val="000000"/>
          <w:kern w:val="0"/>
          <w:sz w:val="24"/>
          <w:szCs w:val="24"/>
        </w:rPr>
        <w:t>已经采取或将要采取的补救措施的权利。</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17．转让</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17.1除招标人</w:t>
      </w:r>
      <w:r>
        <w:rPr>
          <w:rFonts w:hint="eastAsia" w:asciiTheme="majorEastAsia" w:hAnsiTheme="majorEastAsia" w:eastAsiaTheme="majorEastAsia" w:cstheme="majorEastAsia"/>
          <w:color w:val="000000"/>
          <w:kern w:val="0"/>
          <w:sz w:val="24"/>
          <w:szCs w:val="24"/>
        </w:rPr>
        <w:t>事先书面同意外，供方不得部分转让或全部转让其应履行的合</w:t>
      </w:r>
      <w:r>
        <w:rPr>
          <w:rFonts w:hint="eastAsia" w:asciiTheme="majorEastAsia" w:hAnsiTheme="majorEastAsia" w:eastAsiaTheme="majorEastAsia" w:cstheme="majorEastAsia"/>
          <w:bCs/>
          <w:color w:val="000000"/>
          <w:kern w:val="0"/>
          <w:sz w:val="24"/>
          <w:szCs w:val="24"/>
        </w:rPr>
        <w:t>同义务。</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18．适用法律</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18.1本合同应按中华人民共和国的法律进行解释。</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19．合同生效</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19.1合同在双方授权代表签字并盖章后生效。</w:t>
      </w:r>
    </w:p>
    <w:p>
      <w:pPr>
        <w:spacing w:line="44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bCs/>
          <w:color w:val="000000"/>
          <w:kern w:val="0"/>
          <w:sz w:val="24"/>
          <w:szCs w:val="24"/>
        </w:rPr>
        <w:t>19.2本</w:t>
      </w:r>
      <w:r>
        <w:rPr>
          <w:rFonts w:hint="eastAsia" w:asciiTheme="majorEastAsia" w:hAnsiTheme="majorEastAsia" w:eastAsiaTheme="majorEastAsia" w:cstheme="majorEastAsia"/>
          <w:color w:val="000000"/>
          <w:kern w:val="0"/>
          <w:sz w:val="24"/>
          <w:szCs w:val="24"/>
        </w:rPr>
        <w:t>合同一式四份，以中文书写，招标人、供方、政府采购监管部门各执一份。</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20.争议解决方式</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20.1 合同</w:t>
      </w:r>
      <w:r>
        <w:rPr>
          <w:rFonts w:hint="eastAsia" w:asciiTheme="majorEastAsia" w:hAnsiTheme="majorEastAsia" w:eastAsiaTheme="majorEastAsia" w:cstheme="majorEastAsia"/>
          <w:color w:val="000000"/>
          <w:kern w:val="0"/>
          <w:sz w:val="24"/>
          <w:szCs w:val="24"/>
        </w:rPr>
        <w:t>实施或与合同有关的一切争议应通过双方协商解决。若协商不成，则向招标人所在地法院提起诉讼</w:t>
      </w:r>
      <w:r>
        <w:rPr>
          <w:rFonts w:hint="eastAsia" w:asciiTheme="majorEastAsia" w:hAnsiTheme="majorEastAsia" w:eastAsiaTheme="majorEastAsia" w:cstheme="majorEastAsia"/>
          <w:bCs/>
          <w:color w:val="000000"/>
          <w:kern w:val="0"/>
          <w:sz w:val="24"/>
          <w:szCs w:val="24"/>
        </w:rPr>
        <w:t>。</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21.合同修改</w:t>
      </w:r>
    </w:p>
    <w:p>
      <w:pPr>
        <w:spacing w:line="44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21.1除双方</w:t>
      </w:r>
      <w:r>
        <w:rPr>
          <w:rFonts w:hint="eastAsia" w:asciiTheme="majorEastAsia" w:hAnsiTheme="majorEastAsia" w:eastAsiaTheme="majorEastAsia" w:cstheme="majorEastAsia"/>
          <w:color w:val="000000"/>
          <w:sz w:val="24"/>
          <w:szCs w:val="24"/>
        </w:rPr>
        <w:t>签署书面修改协议，并成为本合同不可分割的一部分的情况之外，本合同不得有任何变化或修</w:t>
      </w:r>
      <w:r>
        <w:rPr>
          <w:rFonts w:hint="eastAsia" w:asciiTheme="majorEastAsia" w:hAnsiTheme="majorEastAsia" w:eastAsiaTheme="majorEastAsia" w:cstheme="majorEastAsia"/>
          <w:bCs/>
          <w:color w:val="000000"/>
          <w:sz w:val="24"/>
          <w:szCs w:val="24"/>
        </w:rPr>
        <w:t>改。</w:t>
      </w:r>
    </w:p>
    <w:p>
      <w:pPr>
        <w:pStyle w:val="3"/>
        <w:pageBreakBefore/>
        <w:rPr>
          <w:rFonts w:hint="eastAsia" w:asciiTheme="majorEastAsia" w:hAnsiTheme="majorEastAsia" w:eastAsiaTheme="majorEastAsia" w:cstheme="majorEastAsia"/>
        </w:rPr>
      </w:pPr>
      <w:bookmarkStart w:id="240" w:name="_Toc12278"/>
      <w:r>
        <w:rPr>
          <w:rFonts w:hint="eastAsia" w:asciiTheme="majorEastAsia" w:hAnsiTheme="majorEastAsia" w:eastAsiaTheme="majorEastAsia" w:cstheme="majorEastAsia"/>
        </w:rPr>
        <w:t>第五章  商务及技术要求</w:t>
      </w:r>
      <w:bookmarkEnd w:id="228"/>
      <w:bookmarkEnd w:id="229"/>
      <w:bookmarkEnd w:id="230"/>
      <w:bookmarkEnd w:id="231"/>
      <w:bookmarkEnd w:id="240"/>
    </w:p>
    <w:p>
      <w:pPr>
        <w:pStyle w:val="212"/>
        <w:shd w:val="clear" w:color="auto" w:fill="FFFFFF"/>
        <w:spacing w:line="440" w:lineRule="exact"/>
        <w:ind w:firstLine="482" w:firstLineChars="200"/>
        <w:rPr>
          <w:rFonts w:hint="eastAsia" w:asciiTheme="majorEastAsia" w:hAnsiTheme="majorEastAsia" w:eastAsiaTheme="majorEastAsia" w:cstheme="majorEastAsia"/>
          <w:b/>
          <w:bCs/>
          <w:lang w:val="zh-CN"/>
        </w:rPr>
      </w:pPr>
    </w:p>
    <w:p>
      <w:pPr>
        <w:pStyle w:val="212"/>
        <w:shd w:val="clear" w:color="auto" w:fill="FFFFFF"/>
        <w:spacing w:line="440" w:lineRule="exact"/>
        <w:ind w:firstLine="482" w:firstLineChars="200"/>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一、项目概况与供货范围</w:t>
      </w:r>
    </w:p>
    <w:p>
      <w:pPr>
        <w:pStyle w:val="212"/>
        <w:shd w:val="clear" w:color="auto" w:fill="FFFFFF"/>
        <w:spacing w:line="460" w:lineRule="exact"/>
        <w:ind w:firstLine="480" w:firstLineChars="200"/>
        <w:rPr>
          <w:rFonts w:hint="eastAsia" w:asciiTheme="majorEastAsia" w:hAnsiTheme="majorEastAsia" w:eastAsiaTheme="majorEastAsia" w:cstheme="majorEastAsia"/>
          <w:bCs/>
          <w:lang w:val="zh-CN"/>
        </w:rPr>
      </w:pPr>
      <w:r>
        <w:rPr>
          <w:rFonts w:hint="eastAsia" w:asciiTheme="majorEastAsia" w:hAnsiTheme="majorEastAsia" w:eastAsiaTheme="majorEastAsia" w:cstheme="majorEastAsia"/>
          <w:bCs/>
        </w:rPr>
        <w:t>1</w:t>
      </w:r>
      <w:r>
        <w:rPr>
          <w:rFonts w:hint="eastAsia" w:asciiTheme="majorEastAsia" w:hAnsiTheme="majorEastAsia" w:eastAsiaTheme="majorEastAsia" w:cstheme="majorEastAsia"/>
          <w:bCs/>
          <w:lang w:eastAsia="zh-CN"/>
        </w:rPr>
        <w:t>、</w:t>
      </w:r>
      <w:r>
        <w:rPr>
          <w:rFonts w:hint="eastAsia" w:asciiTheme="majorEastAsia" w:hAnsiTheme="majorEastAsia" w:eastAsiaTheme="majorEastAsia" w:cstheme="majorEastAsia"/>
          <w:bCs/>
          <w:lang w:val="zh-CN"/>
        </w:rPr>
        <w:t>项目名称</w:t>
      </w:r>
      <w:r>
        <w:rPr>
          <w:rFonts w:hint="eastAsia" w:asciiTheme="majorEastAsia" w:hAnsiTheme="majorEastAsia" w:eastAsiaTheme="majorEastAsia" w:cstheme="majorEastAsia"/>
          <w:bCs/>
        </w:rPr>
        <w:t>：宜昌交运集团客运有限公司客运一分公司客车修理厂客车轮胎采购</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2、采购预算价（最高限价）：采购预算人民币</w:t>
      </w:r>
      <w:r>
        <w:rPr>
          <w:rFonts w:hint="eastAsia" w:asciiTheme="majorEastAsia" w:hAnsiTheme="majorEastAsia" w:eastAsiaTheme="majorEastAsia" w:cstheme="majorEastAsia"/>
          <w:lang w:val="en-US" w:eastAsia="zh-CN"/>
        </w:rPr>
        <w:t>122.6</w:t>
      </w:r>
      <w:r>
        <w:rPr>
          <w:rFonts w:hint="eastAsia" w:asciiTheme="majorEastAsia" w:hAnsiTheme="majorEastAsia" w:eastAsiaTheme="majorEastAsia" w:cstheme="majorEastAsia"/>
          <w:lang w:val="zh-CN"/>
        </w:rPr>
        <w:t>万元。</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rPr>
        <w:t>3</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lang w:val="zh-CN"/>
        </w:rPr>
        <w:t>采购范围：客车修理厂现承修公营客车</w:t>
      </w:r>
      <w:r>
        <w:rPr>
          <w:rFonts w:hint="eastAsia" w:asciiTheme="majorEastAsia" w:hAnsiTheme="majorEastAsia" w:eastAsiaTheme="majorEastAsia" w:cstheme="majorEastAsia"/>
          <w:lang w:val="en-US" w:eastAsia="zh-CN"/>
        </w:rPr>
        <w:t>389台</w:t>
      </w:r>
      <w:r>
        <w:rPr>
          <w:rFonts w:hint="eastAsia" w:asciiTheme="majorEastAsia" w:hAnsiTheme="majorEastAsia" w:eastAsiaTheme="majorEastAsia" w:cstheme="majorEastAsia"/>
          <w:lang w:val="zh-CN"/>
        </w:rPr>
        <w:t>，涉及</w:t>
      </w:r>
      <w:r>
        <w:rPr>
          <w:rFonts w:hint="eastAsia" w:asciiTheme="majorEastAsia" w:hAnsiTheme="majorEastAsia" w:eastAsiaTheme="majorEastAsia" w:cstheme="majorEastAsia"/>
          <w:lang w:val="en-US" w:eastAsia="zh-CN"/>
        </w:rPr>
        <w:t>5个车辆品牌的20余个车型，预计年度客车轮胎采购量约800</w:t>
      </w:r>
      <w:r>
        <w:rPr>
          <w:rFonts w:hint="eastAsia" w:asciiTheme="majorEastAsia" w:hAnsiTheme="majorEastAsia" w:eastAsiaTheme="majorEastAsia" w:cstheme="majorEastAsia"/>
          <w:lang w:val="zh-CN"/>
        </w:rPr>
        <w:t>条，具体规格型号及技术要求详见第五章商务及技术要求。</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4、供货时间：合同签订后7天之内，按招标人要求分批次供货。</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5、供货地点：招标人指定地点。</w:t>
      </w:r>
    </w:p>
    <w:p>
      <w:pPr>
        <w:pStyle w:val="212"/>
        <w:shd w:val="clear" w:color="auto" w:fill="FFFFFF"/>
        <w:spacing w:line="460" w:lineRule="exact"/>
        <w:ind w:firstLine="480" w:firstLineChars="20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6、</w:t>
      </w:r>
      <w:r>
        <w:rPr>
          <w:rFonts w:hint="eastAsia" w:asciiTheme="majorEastAsia" w:hAnsiTheme="majorEastAsia" w:eastAsiaTheme="majorEastAsia" w:cstheme="majorEastAsia"/>
          <w:lang w:val="zh-CN"/>
        </w:rPr>
        <w:t>服务期：</w:t>
      </w:r>
      <w:r>
        <w:rPr>
          <w:rFonts w:hint="eastAsia" w:asciiTheme="majorEastAsia" w:hAnsiTheme="majorEastAsia" w:eastAsiaTheme="majorEastAsia" w:cstheme="majorEastAsia"/>
          <w:lang w:val="en-US" w:eastAsia="zh-CN"/>
        </w:rPr>
        <w:t>1年</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7、</w:t>
      </w:r>
      <w:r>
        <w:rPr>
          <w:rFonts w:hint="eastAsia" w:asciiTheme="majorEastAsia" w:hAnsiTheme="majorEastAsia" w:eastAsiaTheme="majorEastAsia" w:cstheme="majorEastAsia"/>
          <w:lang w:val="zh-CN"/>
        </w:rPr>
        <w:t>质量要求：必须是全新合格的子午线轮胎。</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8、</w:t>
      </w:r>
      <w:r>
        <w:rPr>
          <w:rFonts w:hint="eastAsia" w:asciiTheme="majorEastAsia" w:hAnsiTheme="majorEastAsia" w:eastAsiaTheme="majorEastAsia" w:cstheme="majorEastAsia"/>
          <w:lang w:val="zh-CN"/>
        </w:rPr>
        <w:t>质保期：一年（装车之日起，仅按时间计）。</w:t>
      </w:r>
    </w:p>
    <w:p>
      <w:pPr>
        <w:spacing w:line="440" w:lineRule="exact"/>
        <w:ind w:firstLine="482" w:firstLineChars="200"/>
        <w:rPr>
          <w:rFonts w:hint="eastAsia" w:asciiTheme="majorEastAsia" w:hAnsiTheme="majorEastAsia" w:eastAsiaTheme="majorEastAsia" w:cstheme="majorEastAsia"/>
          <w:b/>
          <w:color w:val="C00000"/>
          <w:sz w:val="24"/>
          <w:szCs w:val="24"/>
        </w:rPr>
      </w:pPr>
      <w:r>
        <w:rPr>
          <w:rFonts w:hint="eastAsia" w:asciiTheme="majorEastAsia" w:hAnsiTheme="majorEastAsia" w:eastAsiaTheme="majorEastAsia" w:cstheme="majorEastAsia"/>
          <w:b/>
          <w:color w:val="C00000"/>
          <w:sz w:val="24"/>
          <w:szCs w:val="24"/>
        </w:rPr>
        <w:t>二、采购清单</w:t>
      </w:r>
    </w:p>
    <w:tbl>
      <w:tblPr>
        <w:tblStyle w:val="42"/>
        <w:tblW w:w="950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809"/>
        <w:gridCol w:w="855"/>
        <w:gridCol w:w="768"/>
        <w:gridCol w:w="1362"/>
        <w:gridCol w:w="825"/>
        <w:gridCol w:w="1230"/>
        <w:gridCol w:w="870"/>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序号</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轮胎规格</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年需求量</w:t>
            </w:r>
            <w:r>
              <w:rPr>
                <w:rFonts w:hint="eastAsia" w:ascii="宋体" w:hAnsi="宋体" w:eastAsia="宋体" w:cs="宋体"/>
                <w:b/>
                <w:bCs/>
                <w:i w:val="0"/>
                <w:iCs w:val="0"/>
                <w:color w:val="C00000"/>
                <w:kern w:val="0"/>
                <w:sz w:val="24"/>
                <w:szCs w:val="24"/>
                <w:u w:val="none"/>
                <w:lang w:val="en-US" w:eastAsia="zh-CN" w:bidi="ar"/>
              </w:rPr>
              <w:br w:type="textWrapping"/>
            </w:r>
            <w:r>
              <w:rPr>
                <w:rFonts w:hint="eastAsia" w:ascii="宋体" w:hAnsi="宋体" w:eastAsia="宋体" w:cs="宋体"/>
                <w:b/>
                <w:bCs/>
                <w:i w:val="0"/>
                <w:iCs w:val="0"/>
                <w:color w:val="C00000"/>
                <w:kern w:val="0"/>
                <w:sz w:val="24"/>
                <w:szCs w:val="24"/>
                <w:u w:val="none"/>
                <w:lang w:val="en-US" w:eastAsia="zh-CN" w:bidi="ar"/>
              </w:rPr>
              <w:t>（条）</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品牌</w:t>
            </w:r>
            <w:r>
              <w:rPr>
                <w:rFonts w:hint="eastAsia" w:ascii="宋体" w:hAnsi="宋体" w:eastAsia="宋体" w:cs="宋体"/>
                <w:b/>
                <w:bCs/>
                <w:i w:val="0"/>
                <w:iCs w:val="0"/>
                <w:color w:val="C00000"/>
                <w:kern w:val="0"/>
                <w:sz w:val="24"/>
                <w:szCs w:val="24"/>
                <w:u w:val="none"/>
                <w:lang w:val="en-US" w:eastAsia="zh-CN" w:bidi="ar"/>
              </w:rPr>
              <w:br w:type="textWrapping"/>
            </w:r>
            <w:r>
              <w:rPr>
                <w:rFonts w:hint="eastAsia" w:ascii="宋体" w:hAnsi="宋体" w:eastAsia="宋体" w:cs="宋体"/>
                <w:b/>
                <w:bCs/>
                <w:i w:val="0"/>
                <w:iCs w:val="0"/>
                <w:color w:val="C00000"/>
                <w:kern w:val="0"/>
                <w:sz w:val="24"/>
                <w:szCs w:val="24"/>
                <w:u w:val="none"/>
                <w:lang w:val="en-US" w:eastAsia="zh-CN" w:bidi="ar"/>
              </w:rPr>
              <w:t>要求</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花纹要求</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层级数</w:t>
            </w:r>
            <w:r>
              <w:rPr>
                <w:rFonts w:hint="eastAsia" w:ascii="宋体" w:hAnsi="宋体" w:eastAsia="宋体" w:cs="宋体"/>
                <w:b/>
                <w:bCs/>
                <w:i w:val="0"/>
                <w:iCs w:val="0"/>
                <w:color w:val="C00000"/>
                <w:kern w:val="0"/>
                <w:sz w:val="24"/>
                <w:szCs w:val="24"/>
                <w:u w:val="none"/>
                <w:lang w:val="en-US" w:eastAsia="zh-CN" w:bidi="ar"/>
              </w:rPr>
              <w:br w:type="textWrapping"/>
            </w:r>
            <w:r>
              <w:rPr>
                <w:rFonts w:hint="eastAsia" w:ascii="宋体" w:hAnsi="宋体" w:eastAsia="宋体" w:cs="宋体"/>
                <w:b/>
                <w:bCs/>
                <w:i w:val="0"/>
                <w:iCs w:val="0"/>
                <w:color w:val="C00000"/>
                <w:kern w:val="0"/>
                <w:sz w:val="24"/>
                <w:szCs w:val="24"/>
                <w:u w:val="none"/>
                <w:lang w:val="en-US" w:eastAsia="zh-CN" w:bidi="ar"/>
              </w:rPr>
              <w:t>要求</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单胎负荷</w:t>
            </w:r>
            <w:r>
              <w:rPr>
                <w:rFonts w:hint="eastAsia" w:ascii="宋体" w:hAnsi="宋体" w:eastAsia="宋体" w:cs="宋体"/>
                <w:b/>
                <w:bCs/>
                <w:i w:val="0"/>
                <w:iCs w:val="0"/>
                <w:color w:val="C00000"/>
                <w:kern w:val="0"/>
                <w:sz w:val="24"/>
                <w:szCs w:val="24"/>
                <w:u w:val="none"/>
                <w:lang w:val="en-US" w:eastAsia="zh-CN" w:bidi="ar"/>
              </w:rPr>
              <w:br w:type="textWrapping"/>
            </w:r>
            <w:r>
              <w:rPr>
                <w:rFonts w:hint="eastAsia" w:ascii="宋体" w:hAnsi="宋体" w:eastAsia="宋体" w:cs="宋体"/>
                <w:b/>
                <w:bCs/>
                <w:i w:val="0"/>
                <w:iCs w:val="0"/>
                <w:color w:val="C00000"/>
                <w:kern w:val="0"/>
                <w:sz w:val="24"/>
                <w:szCs w:val="24"/>
                <w:u w:val="none"/>
                <w:lang w:val="en-US" w:eastAsia="zh-CN" w:bidi="ar"/>
              </w:rPr>
              <w:t>指数要求</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速度等级</w:t>
            </w:r>
            <w:r>
              <w:rPr>
                <w:rFonts w:hint="eastAsia" w:ascii="宋体" w:hAnsi="宋体" w:eastAsia="宋体" w:cs="宋体"/>
                <w:b/>
                <w:bCs/>
                <w:i w:val="0"/>
                <w:iCs w:val="0"/>
                <w:color w:val="C00000"/>
                <w:kern w:val="0"/>
                <w:sz w:val="24"/>
                <w:szCs w:val="24"/>
                <w:u w:val="none"/>
                <w:lang w:val="en-US" w:eastAsia="zh-CN" w:bidi="ar"/>
              </w:rPr>
              <w:br w:type="textWrapping"/>
            </w:r>
            <w:r>
              <w:rPr>
                <w:rFonts w:hint="eastAsia" w:ascii="宋体" w:hAnsi="宋体" w:eastAsia="宋体" w:cs="宋体"/>
                <w:b/>
                <w:bCs/>
                <w:i w:val="0"/>
                <w:iCs w:val="0"/>
                <w:color w:val="C00000"/>
                <w:kern w:val="0"/>
                <w:sz w:val="24"/>
                <w:szCs w:val="24"/>
                <w:u w:val="none"/>
                <w:lang w:val="en-US" w:eastAsia="zh-CN" w:bidi="ar"/>
              </w:rPr>
              <w:t>要求</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4"/>
                <w:szCs w:val="24"/>
                <w:u w:val="none"/>
              </w:rPr>
            </w:pPr>
            <w:r>
              <w:rPr>
                <w:rFonts w:hint="eastAsia" w:ascii="宋体" w:hAnsi="宋体" w:eastAsia="宋体" w:cs="宋体"/>
                <w:b/>
                <w:bCs/>
                <w:i w:val="0"/>
                <w:iCs w:val="0"/>
                <w:color w:val="C00000"/>
                <w:kern w:val="0"/>
                <w:sz w:val="24"/>
                <w:szCs w:val="24"/>
                <w:u w:val="none"/>
                <w:lang w:val="en-US" w:eastAsia="zh-CN" w:bidi="ar"/>
              </w:rPr>
              <w:t>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6.50R16</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4</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≥12</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≥110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≥Q</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2</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7.00R16</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≥14</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≥118</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≥L</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3</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8R22.5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4</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≥14</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≥130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≥L</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4</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9R22.5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100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≥14</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≥136</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≥L</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5</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10R22.5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40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≥14</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≥141</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≥M</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6</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11R22.5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420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≥16</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≥148</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≥M</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7</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295/80R22.5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40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≥18</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≥152</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≥M</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8</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295/80R22.5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40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≥18</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≥152</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≥M</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9</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295/80R22.5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40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进口</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≥18</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≥152</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≥M</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10</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215/70R16LT</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6</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商务车使用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≥4</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≥100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≥T</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11</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215/75R17.5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≥16</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≥127/124</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≥M</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12</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185/65R15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轿车使用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≥4</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≥88</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≥H</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13</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195/65R15</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30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轿车使用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≥23</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≥91</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≥V</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7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14</w:t>
            </w:r>
          </w:p>
        </w:tc>
        <w:tc>
          <w:tcPr>
            <w:tcW w:w="180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245/70R19.5-16</w:t>
            </w:r>
          </w:p>
        </w:tc>
        <w:tc>
          <w:tcPr>
            <w:tcW w:w="8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30</w:t>
            </w:r>
          </w:p>
        </w:tc>
        <w:tc>
          <w:tcPr>
            <w:tcW w:w="7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cs="宋体"/>
                <w:i w:val="0"/>
                <w:iCs w:val="0"/>
                <w:color w:val="C00000"/>
                <w:kern w:val="0"/>
                <w:sz w:val="22"/>
                <w:szCs w:val="22"/>
                <w:u w:val="none"/>
                <w:lang w:val="en-US" w:eastAsia="zh-CN" w:bidi="ar"/>
              </w:rPr>
              <w:t>国产</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客车使用</w:t>
            </w:r>
          </w:p>
        </w:tc>
        <w:tc>
          <w:tcPr>
            <w:tcW w:w="8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≥16</w:t>
            </w:r>
          </w:p>
        </w:tc>
        <w:tc>
          <w:tcPr>
            <w:tcW w:w="12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≥136/134</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≥M</w:t>
            </w:r>
          </w:p>
        </w:tc>
        <w:tc>
          <w:tcPr>
            <w:tcW w:w="130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2"/>
                <w:szCs w:val="22"/>
                <w:u w:val="none"/>
              </w:rPr>
            </w:pPr>
            <w:r>
              <w:rPr>
                <w:rFonts w:hint="eastAsia" w:ascii="宋体" w:hAnsi="宋体" w:eastAsia="宋体" w:cs="宋体"/>
                <w:i w:val="0"/>
                <w:iCs w:val="0"/>
                <w:color w:val="C00000"/>
                <w:kern w:val="0"/>
                <w:sz w:val="22"/>
                <w:szCs w:val="22"/>
                <w:u w:val="none"/>
                <w:lang w:val="en-US" w:eastAsia="zh-CN" w:bidi="ar"/>
              </w:rPr>
              <w:t>全新合格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2285"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C00000"/>
                <w:sz w:val="26"/>
                <w:szCs w:val="26"/>
                <w:u w:val="none"/>
              </w:rPr>
            </w:pPr>
            <w:r>
              <w:rPr>
                <w:rFonts w:hint="eastAsia" w:ascii="宋体" w:hAnsi="宋体" w:eastAsia="宋体" w:cs="宋体"/>
                <w:i w:val="0"/>
                <w:iCs w:val="0"/>
                <w:color w:val="C00000"/>
                <w:kern w:val="0"/>
                <w:sz w:val="26"/>
                <w:szCs w:val="26"/>
                <w:u w:val="none"/>
                <w:lang w:val="en-US" w:eastAsia="zh-CN" w:bidi="ar"/>
              </w:rPr>
              <w:t>合计</w:t>
            </w:r>
          </w:p>
        </w:tc>
        <w:tc>
          <w:tcPr>
            <w:tcW w:w="855" w:type="dxa"/>
            <w:noWrap w:val="0"/>
            <w:vAlign w:val="center"/>
          </w:tcPr>
          <w:p>
            <w:pPr>
              <w:jc w:val="center"/>
              <w:rPr>
                <w:rFonts w:hint="eastAsia" w:ascii="宋体" w:hAnsi="宋体" w:eastAsia="宋体" w:cs="宋体"/>
                <w:i w:val="0"/>
                <w:iCs w:val="0"/>
                <w:color w:val="C00000"/>
                <w:sz w:val="26"/>
                <w:szCs w:val="26"/>
                <w:u w:val="none"/>
                <w:lang w:val="en-US" w:eastAsia="zh-CN"/>
              </w:rPr>
            </w:pPr>
            <w:r>
              <w:rPr>
                <w:rFonts w:hint="eastAsia" w:ascii="宋体" w:hAnsi="宋体" w:eastAsia="宋体" w:cs="宋体"/>
                <w:i w:val="0"/>
                <w:iCs w:val="0"/>
                <w:color w:val="C00000"/>
                <w:sz w:val="26"/>
                <w:szCs w:val="26"/>
                <w:u w:val="none"/>
                <w:lang w:val="en-US" w:eastAsia="zh-CN"/>
              </w:rPr>
              <w:t>784</w:t>
            </w:r>
          </w:p>
        </w:tc>
        <w:tc>
          <w:tcPr>
            <w:tcW w:w="768" w:type="dxa"/>
            <w:noWrap w:val="0"/>
            <w:vAlign w:val="center"/>
          </w:tcPr>
          <w:p>
            <w:pPr>
              <w:jc w:val="center"/>
              <w:rPr>
                <w:rFonts w:hint="eastAsia" w:ascii="宋体" w:hAnsi="宋体" w:eastAsia="宋体" w:cs="宋体"/>
                <w:i w:val="0"/>
                <w:iCs w:val="0"/>
                <w:color w:val="C00000"/>
                <w:sz w:val="22"/>
                <w:szCs w:val="22"/>
                <w:u w:val="none"/>
              </w:rPr>
            </w:pPr>
          </w:p>
        </w:tc>
        <w:tc>
          <w:tcPr>
            <w:tcW w:w="1362" w:type="dxa"/>
            <w:noWrap w:val="0"/>
            <w:vAlign w:val="center"/>
          </w:tcPr>
          <w:p>
            <w:pPr>
              <w:jc w:val="center"/>
              <w:rPr>
                <w:rFonts w:hint="eastAsia" w:ascii="宋体" w:hAnsi="宋体" w:eastAsia="宋体" w:cs="宋体"/>
                <w:i w:val="0"/>
                <w:iCs w:val="0"/>
                <w:color w:val="C00000"/>
                <w:sz w:val="26"/>
                <w:szCs w:val="26"/>
                <w:u w:val="none"/>
              </w:rPr>
            </w:pPr>
          </w:p>
        </w:tc>
        <w:tc>
          <w:tcPr>
            <w:tcW w:w="825" w:type="dxa"/>
            <w:noWrap w:val="0"/>
            <w:vAlign w:val="center"/>
          </w:tcPr>
          <w:p>
            <w:pPr>
              <w:jc w:val="center"/>
              <w:rPr>
                <w:rFonts w:hint="eastAsia" w:ascii="宋体" w:hAnsi="宋体" w:eastAsia="宋体" w:cs="宋体"/>
                <w:i w:val="0"/>
                <w:iCs w:val="0"/>
                <w:color w:val="C00000"/>
                <w:sz w:val="22"/>
                <w:szCs w:val="22"/>
                <w:u w:val="none"/>
              </w:rPr>
            </w:pPr>
          </w:p>
        </w:tc>
        <w:tc>
          <w:tcPr>
            <w:tcW w:w="1230" w:type="dxa"/>
            <w:noWrap w:val="0"/>
            <w:vAlign w:val="center"/>
          </w:tcPr>
          <w:p>
            <w:pPr>
              <w:jc w:val="center"/>
              <w:rPr>
                <w:rFonts w:hint="eastAsia" w:ascii="宋体" w:hAnsi="宋体" w:eastAsia="宋体" w:cs="宋体"/>
                <w:i w:val="0"/>
                <w:iCs w:val="0"/>
                <w:color w:val="C00000"/>
                <w:sz w:val="22"/>
                <w:szCs w:val="22"/>
                <w:u w:val="none"/>
              </w:rPr>
            </w:pPr>
          </w:p>
        </w:tc>
        <w:tc>
          <w:tcPr>
            <w:tcW w:w="870" w:type="dxa"/>
            <w:noWrap w:val="0"/>
            <w:vAlign w:val="center"/>
          </w:tcPr>
          <w:p>
            <w:pPr>
              <w:jc w:val="center"/>
              <w:rPr>
                <w:rFonts w:hint="eastAsia" w:ascii="宋体" w:hAnsi="宋体" w:eastAsia="宋体" w:cs="宋体"/>
                <w:i w:val="0"/>
                <w:iCs w:val="0"/>
                <w:color w:val="C00000"/>
                <w:sz w:val="22"/>
                <w:szCs w:val="22"/>
                <w:u w:val="none"/>
              </w:rPr>
            </w:pPr>
          </w:p>
        </w:tc>
        <w:tc>
          <w:tcPr>
            <w:tcW w:w="1305" w:type="dxa"/>
            <w:noWrap w:val="0"/>
            <w:vAlign w:val="center"/>
          </w:tcPr>
          <w:p>
            <w:pPr>
              <w:jc w:val="center"/>
              <w:rPr>
                <w:rFonts w:hint="eastAsia" w:ascii="宋体" w:hAnsi="宋体" w:eastAsia="宋体" w:cs="宋体"/>
                <w:i w:val="0"/>
                <w:iCs w:val="0"/>
                <w:color w:val="C00000"/>
                <w:sz w:val="22"/>
                <w:szCs w:val="22"/>
                <w:u w:val="none"/>
              </w:rPr>
            </w:pP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300" w:firstLine="482" w:firstLineChars="200"/>
        <w:jc w:val="left"/>
        <w:textAlignment w:val="auto"/>
        <w:rPr>
          <w:rFonts w:hint="eastAsia" w:ascii="宋体" w:hAnsi="宋体" w:eastAsia="宋体" w:cs="宋体"/>
          <w:b/>
          <w:bCs/>
          <w:color w:val="C00000"/>
          <w:kern w:val="2"/>
          <w:sz w:val="24"/>
          <w:szCs w:val="24"/>
          <w:highlight w:val="none"/>
          <w:shd w:val="clear" w:color="auto" w:fill="FFFFFF"/>
          <w:lang w:val="en-US" w:eastAsia="zh-CN" w:bidi="ar"/>
        </w:rPr>
      </w:pPr>
      <w:r>
        <w:rPr>
          <w:rFonts w:hint="eastAsia" w:ascii="宋体" w:hAnsi="宋体" w:eastAsia="宋体" w:cs="宋体"/>
          <w:b/>
          <w:bCs/>
          <w:color w:val="C00000"/>
          <w:kern w:val="2"/>
          <w:sz w:val="24"/>
          <w:szCs w:val="24"/>
          <w:highlight w:val="none"/>
          <w:shd w:val="clear" w:color="auto" w:fill="FFFFFF"/>
          <w:lang w:val="en-US" w:eastAsia="zh-CN" w:bidi="ar"/>
        </w:rPr>
        <w:t>说明：1、国产品牌包括不限于：佳通、双钱、回力、正新、朝阳、好运、三角、玲珑等；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300" w:firstLine="482" w:firstLineChars="200"/>
        <w:jc w:val="left"/>
        <w:textAlignment w:val="auto"/>
        <w:rPr>
          <w:rFonts w:hint="eastAsia" w:ascii="宋体" w:hAnsi="宋体" w:eastAsia="宋体" w:cs="宋体"/>
          <w:b/>
          <w:bCs/>
          <w:color w:val="C00000"/>
          <w:kern w:val="2"/>
          <w:sz w:val="24"/>
          <w:szCs w:val="24"/>
          <w:highlight w:val="none"/>
          <w:shd w:val="clear" w:color="auto" w:fill="FFFFFF"/>
          <w:lang w:val="en-US" w:eastAsia="zh-CN" w:bidi="ar"/>
        </w:rPr>
      </w:pPr>
      <w:r>
        <w:rPr>
          <w:rFonts w:hint="eastAsia" w:ascii="宋体" w:hAnsi="宋体" w:eastAsia="宋体" w:cs="宋体"/>
          <w:b/>
          <w:bCs/>
          <w:color w:val="C00000"/>
          <w:kern w:val="2"/>
          <w:sz w:val="24"/>
          <w:szCs w:val="24"/>
          <w:highlight w:val="none"/>
          <w:shd w:val="clear" w:color="auto" w:fill="FFFFFF"/>
          <w:lang w:val="en-US" w:eastAsia="zh-CN" w:bidi="ar"/>
        </w:rPr>
        <w:t>2、进口品牌包括不限于：米其林、普利司通、固特异、倍耐力等；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300" w:firstLine="482" w:firstLineChars="200"/>
        <w:jc w:val="left"/>
        <w:textAlignment w:val="auto"/>
        <w:rPr>
          <w:rFonts w:hint="eastAsia" w:ascii="宋体" w:hAnsi="宋体" w:eastAsia="宋体" w:cs="宋体"/>
          <w:b/>
          <w:bCs/>
          <w:color w:val="C00000"/>
          <w:kern w:val="2"/>
          <w:sz w:val="24"/>
          <w:szCs w:val="24"/>
          <w:highlight w:val="none"/>
          <w:shd w:val="clear" w:color="auto" w:fill="FFFFFF"/>
          <w:lang w:val="en-US" w:eastAsia="zh-CN" w:bidi="ar"/>
        </w:rPr>
      </w:pPr>
      <w:r>
        <w:rPr>
          <w:rFonts w:hint="eastAsia" w:ascii="宋体" w:hAnsi="宋体" w:eastAsia="宋体" w:cs="宋体"/>
          <w:b/>
          <w:bCs/>
          <w:color w:val="C00000"/>
          <w:kern w:val="2"/>
          <w:sz w:val="24"/>
          <w:szCs w:val="24"/>
          <w:highlight w:val="none"/>
          <w:shd w:val="clear" w:color="auto" w:fill="FFFFFF"/>
          <w:lang w:val="en-US" w:eastAsia="zh-CN" w:bidi="ar"/>
        </w:rPr>
        <w:t>3、花纹必须符合客车在高速、城市、郊区等路面行驶；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300" w:firstLine="482" w:firstLineChars="200"/>
        <w:jc w:val="left"/>
        <w:textAlignment w:val="auto"/>
        <w:rPr>
          <w:rFonts w:hint="eastAsia" w:ascii="宋体" w:hAnsi="宋体" w:eastAsia="宋体" w:cs="宋体"/>
          <w:b/>
          <w:bCs/>
          <w:color w:val="C00000"/>
          <w:kern w:val="2"/>
          <w:sz w:val="24"/>
          <w:szCs w:val="24"/>
          <w:highlight w:val="none"/>
          <w:shd w:val="clear" w:color="auto" w:fill="FFFFFF"/>
          <w:lang w:val="en-US" w:eastAsia="zh-CN" w:bidi="ar"/>
        </w:rPr>
      </w:pPr>
      <w:r>
        <w:rPr>
          <w:rFonts w:hint="eastAsia" w:ascii="宋体" w:hAnsi="宋体" w:eastAsia="宋体" w:cs="宋体"/>
          <w:b/>
          <w:bCs/>
          <w:color w:val="C00000"/>
          <w:kern w:val="2"/>
          <w:sz w:val="24"/>
          <w:szCs w:val="24"/>
          <w:highlight w:val="none"/>
          <w:shd w:val="clear" w:color="auto" w:fill="FFFFFF"/>
          <w:lang w:val="en-US" w:eastAsia="zh-CN" w:bidi="ar"/>
        </w:rPr>
        <w:t>4、质量要求必须是全新合格产品。</w:t>
      </w:r>
    </w:p>
    <w:p>
      <w:pPr>
        <w:spacing w:line="440" w:lineRule="exact"/>
        <w:ind w:firstLine="482"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sz w:val="24"/>
          <w:szCs w:val="24"/>
        </w:rPr>
        <w:t>三、商务要求</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本项目采用全费用综合单价计价,投标报价均应视为投标文件中提出的各项支付金额的总和，包括但不限于以下费用:设备材料费、设备基础费用、货物到达最终目的地点的相关运输费（含装卸费）、管理费、利润、规费、税金及其它全部相关费用以及招标文件及合同约定范围内的风险费用等。</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2、本项目最高限价为人民币</w:t>
      </w:r>
      <w:r>
        <w:rPr>
          <w:rFonts w:hint="eastAsia" w:asciiTheme="majorEastAsia" w:hAnsiTheme="majorEastAsia" w:eastAsiaTheme="majorEastAsia" w:cstheme="majorEastAsia"/>
          <w:sz w:val="24"/>
          <w:lang w:val="en-US" w:eastAsia="zh-CN"/>
        </w:rPr>
        <w:t>122.6</w:t>
      </w:r>
      <w:r>
        <w:rPr>
          <w:rFonts w:hint="eastAsia" w:asciiTheme="majorEastAsia" w:hAnsiTheme="majorEastAsia" w:eastAsiaTheme="majorEastAsia" w:cstheme="majorEastAsia"/>
          <w:sz w:val="24"/>
        </w:rPr>
        <w:t>万元，投标人的投标报价高于本项目最高限价的评标委员会否决其投标。</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3、付款方式：货物分批次送达指定地点后，经招标人验收合格，按月支付实际使用货物的全部价款。</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4、合同期内如发生报价清单以外规格型号的货物，在不高于同类产品市场价格的原则下，双方协商定价。</w:t>
      </w:r>
    </w:p>
    <w:p>
      <w:pPr>
        <w:pStyle w:val="3"/>
        <w:pageBreakBefore/>
        <w:rPr>
          <w:rFonts w:hint="eastAsia" w:asciiTheme="majorEastAsia" w:hAnsiTheme="majorEastAsia" w:eastAsiaTheme="majorEastAsia" w:cstheme="majorEastAsia"/>
        </w:rPr>
      </w:pPr>
      <w:bookmarkStart w:id="241" w:name="_Toc13327"/>
      <w:r>
        <w:rPr>
          <w:rFonts w:hint="eastAsia" w:asciiTheme="majorEastAsia" w:hAnsiTheme="majorEastAsia" w:eastAsiaTheme="majorEastAsia" w:cstheme="majorEastAsia"/>
        </w:rPr>
        <w:t xml:space="preserve">第六章  </w:t>
      </w:r>
      <w:bookmarkEnd w:id="232"/>
      <w:bookmarkEnd w:id="233"/>
      <w:r>
        <w:rPr>
          <w:rFonts w:hint="eastAsia" w:asciiTheme="majorEastAsia" w:hAnsiTheme="majorEastAsia" w:eastAsiaTheme="majorEastAsia" w:cstheme="majorEastAsia"/>
        </w:rPr>
        <w:t>相关技术资料（如有）</w:t>
      </w:r>
      <w:bookmarkEnd w:id="241"/>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bdr w:val="single" w:color="auto" w:sz="4" w:space="0"/>
        </w:rPr>
      </w:pPr>
    </w:p>
    <w:p>
      <w:pPr>
        <w:pStyle w:val="3"/>
        <w:pageBreakBefore/>
        <w:rPr>
          <w:rFonts w:hint="eastAsia" w:asciiTheme="majorEastAsia" w:hAnsiTheme="majorEastAsia" w:eastAsiaTheme="majorEastAsia" w:cstheme="majorEastAsia"/>
        </w:rPr>
      </w:pPr>
      <w:bookmarkStart w:id="242" w:name="_Toc13028"/>
      <w:r>
        <w:rPr>
          <w:rFonts w:hint="eastAsia" w:asciiTheme="majorEastAsia" w:hAnsiTheme="majorEastAsia" w:eastAsiaTheme="majorEastAsia" w:cstheme="majorEastAsia"/>
        </w:rPr>
        <w:t>第七章  投标文件格式</w:t>
      </w:r>
      <w:bookmarkEnd w:id="242"/>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____________________（项目名称）</w:t>
      </w: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jc w:val="center"/>
        <w:rPr>
          <w:rFonts w:hint="eastAsia" w:asciiTheme="majorEastAsia" w:hAnsiTheme="majorEastAsia" w:eastAsiaTheme="majorEastAsia" w:cstheme="majorEastAsia"/>
          <w:sz w:val="72"/>
          <w:szCs w:val="72"/>
        </w:rPr>
      </w:pPr>
      <w:r>
        <w:rPr>
          <w:rFonts w:hint="eastAsia" w:asciiTheme="majorEastAsia" w:hAnsiTheme="majorEastAsia" w:eastAsiaTheme="majorEastAsia" w:cstheme="majorEastAsia"/>
          <w:sz w:val="72"/>
          <w:szCs w:val="72"/>
        </w:rPr>
        <w:t>投   标  文  件</w:t>
      </w:r>
    </w:p>
    <w:p>
      <w:pPr>
        <w:rPr>
          <w:rFonts w:hint="eastAsia" w:asciiTheme="majorEastAsia" w:hAnsiTheme="majorEastAsia" w:eastAsiaTheme="majorEastAsia" w:cstheme="majorEastAsia"/>
        </w:rPr>
      </w:pPr>
    </w:p>
    <w:p>
      <w:pPr>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（正本或副本）</w:t>
      </w: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ind w:firstLine="640"/>
        <w:jc w:val="left"/>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投  标  人：</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（盖单位章）</w:t>
      </w:r>
    </w:p>
    <w:p>
      <w:pPr>
        <w:ind w:firstLine="640"/>
        <w:rPr>
          <w:rFonts w:hint="eastAsia" w:asciiTheme="majorEastAsia" w:hAnsiTheme="majorEastAsia" w:eastAsiaTheme="majorEastAsia" w:cstheme="majorEastAsia"/>
          <w:sz w:val="32"/>
          <w:szCs w:val="32"/>
        </w:rPr>
      </w:pPr>
    </w:p>
    <w:p>
      <w:pPr>
        <w:ind w:firstLine="64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法定代表人或授权委托人</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 xml:space="preserve">（签    章）      </w:t>
      </w:r>
    </w:p>
    <w:p>
      <w:pPr>
        <w:ind w:firstLine="640"/>
        <w:rPr>
          <w:rFonts w:hint="eastAsia" w:asciiTheme="majorEastAsia" w:hAnsiTheme="majorEastAsia" w:eastAsiaTheme="majorEastAsia" w:cstheme="majorEastAsia"/>
          <w:sz w:val="32"/>
          <w:szCs w:val="32"/>
        </w:rPr>
      </w:pPr>
    </w:p>
    <w:p>
      <w:pPr>
        <w:ind w:firstLine="64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日      期：</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年</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月</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日</w:t>
      </w: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bookmarkStart w:id="243" w:name="_Toc18603118"/>
      <w:bookmarkStart w:id="244" w:name="_Toc522293545"/>
      <w:bookmarkStart w:id="245" w:name="_Toc12428"/>
      <w:bookmarkStart w:id="246" w:name="_Toc4023"/>
      <w:r>
        <w:rPr>
          <w:rFonts w:hint="eastAsia" w:asciiTheme="majorEastAsia" w:hAnsiTheme="majorEastAsia" w:eastAsiaTheme="majorEastAsia" w:cstheme="majorEastAsia"/>
        </w:rPr>
        <w:t>目    录</w:t>
      </w:r>
      <w:bookmarkEnd w:id="243"/>
      <w:bookmarkEnd w:id="244"/>
      <w:bookmarkEnd w:id="245"/>
      <w:bookmarkEnd w:id="246"/>
    </w:p>
    <w:p>
      <w:pPr>
        <w:rPr>
          <w:rFonts w:hint="eastAsia" w:asciiTheme="majorEastAsia" w:hAnsiTheme="majorEastAsia" w:eastAsiaTheme="majorEastAsia" w:cstheme="majorEastAsia"/>
        </w:rPr>
      </w:pPr>
    </w:p>
    <w:p>
      <w:pPr>
        <w:pStyle w:val="2"/>
        <w:spacing w:after="0" w:line="440" w:lineRule="exact"/>
        <w:ind w:firstLine="482" w:firstLineChars="200"/>
        <w:jc w:val="left"/>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一、商务标</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（一）投标函；</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（二）分项报价表</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（三）法定代表人资格证明书；</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（四）法定代表人授权委托书；</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（五）投标人情况介绍；</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（六）投标人业绩；</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（七）资格审查资料；</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（八）承诺函；</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（九）反商业贿赂承诺书；</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（十）投标人认为需要提供的其他资料。</w:t>
      </w:r>
    </w:p>
    <w:p>
      <w:pPr>
        <w:pStyle w:val="2"/>
        <w:spacing w:after="0" w:line="440" w:lineRule="exact"/>
        <w:ind w:firstLine="482" w:firstLineChars="200"/>
        <w:jc w:val="left"/>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二、技术标</w:t>
      </w:r>
    </w:p>
    <w:p>
      <w:pPr>
        <w:pStyle w:val="2"/>
        <w:spacing w:after="0" w:line="440" w:lineRule="exact"/>
        <w:ind w:firstLine="480" w:firstLineChars="200"/>
        <w:jc w:val="left"/>
        <w:rPr>
          <w:rFonts w:hint="eastAsia" w:asciiTheme="majorEastAsia" w:hAnsiTheme="majorEastAsia" w:eastAsiaTheme="majorEastAsia" w:cstheme="majorEastAsia"/>
          <w:sz w:val="24"/>
        </w:rPr>
      </w:pPr>
    </w:p>
    <w:p>
      <w:pPr>
        <w:spacing w:line="440" w:lineRule="exact"/>
        <w:jc w:val="left"/>
        <w:rPr>
          <w:rFonts w:hint="eastAsia" w:asciiTheme="majorEastAsia" w:hAnsiTheme="majorEastAsia" w:eastAsiaTheme="majorEastAsia" w:cstheme="majorEastAsia"/>
          <w:b/>
          <w:kern w:val="1"/>
          <w:sz w:val="30"/>
          <w:szCs w:val="30"/>
        </w:rPr>
      </w:pPr>
    </w:p>
    <w:p>
      <w:pPr>
        <w:pStyle w:val="2"/>
        <w:spacing w:after="0" w:line="440" w:lineRule="exact"/>
        <w:ind w:firstLine="480" w:firstLineChars="200"/>
        <w:jc w:val="left"/>
        <w:rPr>
          <w:rFonts w:hint="eastAsia" w:asciiTheme="majorEastAsia" w:hAnsiTheme="majorEastAsia" w:eastAsiaTheme="majorEastAsia" w:cstheme="majorEastAsia"/>
          <w:sz w:val="24"/>
        </w:rPr>
      </w:pPr>
    </w:p>
    <w:p>
      <w:pPr>
        <w:pStyle w:val="2"/>
        <w:spacing w:after="0" w:line="360" w:lineRule="auto"/>
        <w:jc w:val="center"/>
        <w:rPr>
          <w:rFonts w:hint="eastAsia" w:asciiTheme="majorEastAsia" w:hAnsiTheme="majorEastAsia" w:eastAsiaTheme="majorEastAsia" w:cstheme="majorEastAsia"/>
          <w:b/>
          <w:sz w:val="30"/>
          <w:szCs w:val="30"/>
        </w:rPr>
      </w:pPr>
      <w:r>
        <w:rPr>
          <w:rFonts w:hint="eastAsia" w:asciiTheme="majorEastAsia" w:hAnsiTheme="majorEastAsia" w:eastAsiaTheme="majorEastAsia" w:cstheme="majorEastAsia"/>
          <w:sz w:val="28"/>
          <w:szCs w:val="21"/>
        </w:rPr>
        <w:br w:type="page"/>
      </w:r>
      <w:bookmarkStart w:id="247" w:name="_Toc2578"/>
      <w:bookmarkStart w:id="248" w:name="_Toc360718909"/>
      <w:bookmarkStart w:id="249" w:name="_Toc406602421"/>
      <w:bookmarkStart w:id="250" w:name="_Toc22270_WPSOffice_Level2"/>
      <w:bookmarkStart w:id="251" w:name="_Toc152047264"/>
      <w:bookmarkStart w:id="252" w:name="_Toc144974468"/>
      <w:r>
        <w:rPr>
          <w:rFonts w:hint="eastAsia" w:asciiTheme="majorEastAsia" w:hAnsiTheme="majorEastAsia" w:eastAsiaTheme="majorEastAsia" w:cstheme="majorEastAsia"/>
          <w:b/>
          <w:sz w:val="30"/>
          <w:szCs w:val="30"/>
        </w:rPr>
        <w:t>一、商务标</w:t>
      </w:r>
    </w:p>
    <w:p>
      <w:pPr>
        <w:pStyle w:val="4"/>
        <w:ind w:firstLine="312"/>
        <w:rPr>
          <w:rFonts w:hint="eastAsia" w:asciiTheme="majorEastAsia" w:hAnsiTheme="majorEastAsia" w:eastAsiaTheme="majorEastAsia" w:cstheme="majorEastAsia"/>
          <w:bCs w:val="0"/>
          <w:sz w:val="24"/>
          <w:szCs w:val="24"/>
        </w:rPr>
      </w:pPr>
      <w:bookmarkStart w:id="253" w:name="_Toc18603119"/>
      <w:bookmarkStart w:id="254" w:name="_Toc15668"/>
      <w:bookmarkStart w:id="255" w:name="_Toc21685_WPSOffice_Level2"/>
      <w:bookmarkStart w:id="256" w:name="_Toc2973"/>
      <w:r>
        <w:rPr>
          <w:rFonts w:hint="eastAsia" w:asciiTheme="majorEastAsia" w:hAnsiTheme="majorEastAsia" w:eastAsiaTheme="majorEastAsia" w:cstheme="majorEastAsia"/>
          <w:bCs w:val="0"/>
          <w:sz w:val="24"/>
          <w:szCs w:val="24"/>
        </w:rPr>
        <w:t>（一）投标函</w:t>
      </w:r>
      <w:bookmarkEnd w:id="253"/>
      <w:bookmarkEnd w:id="254"/>
      <w:bookmarkEnd w:id="255"/>
      <w:bookmarkEnd w:id="256"/>
    </w:p>
    <w:p>
      <w:pPr>
        <w:rPr>
          <w:rFonts w:hint="eastAsia" w:asciiTheme="majorEastAsia" w:hAnsiTheme="majorEastAsia" w:eastAsiaTheme="majorEastAsia" w:cstheme="majorEastAsia"/>
        </w:rPr>
      </w:pPr>
    </w:p>
    <w:p>
      <w:pPr>
        <w:pStyle w:val="23"/>
        <w:snapToGrid w:val="0"/>
        <w:spacing w:line="360" w:lineRule="auto"/>
        <w:ind w:firstLine="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至</w:t>
      </w:r>
      <w:r>
        <w:rPr>
          <w:rFonts w:hint="eastAsia" w:asciiTheme="majorEastAsia" w:hAnsiTheme="majorEastAsia" w:eastAsiaTheme="majorEastAsia" w:cstheme="majorEastAsia"/>
          <w:sz w:val="24"/>
          <w:szCs w:val="24"/>
          <w:u w:val="single"/>
        </w:rPr>
        <w:t xml:space="preserve">（招标人） </w:t>
      </w:r>
      <w:r>
        <w:rPr>
          <w:rFonts w:hint="eastAsia" w:asciiTheme="majorEastAsia" w:hAnsiTheme="majorEastAsia" w:eastAsiaTheme="majorEastAsia" w:cstheme="majorEastAsia"/>
          <w:sz w:val="24"/>
          <w:szCs w:val="24"/>
        </w:rPr>
        <w:t>：</w:t>
      </w:r>
    </w:p>
    <w:p>
      <w:pPr>
        <w:pStyle w:val="23"/>
        <w:snapToGrid w:val="0"/>
        <w:spacing w:line="360" w:lineRule="auto"/>
        <w:ind w:firstLine="352" w:firstLineChars="147"/>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1、我方已仔细研究了</w:t>
      </w:r>
      <w:r>
        <w:rPr>
          <w:rFonts w:hint="eastAsia" w:asciiTheme="majorEastAsia" w:hAnsiTheme="majorEastAsia" w:eastAsiaTheme="majorEastAsia" w:cstheme="majorEastAsia"/>
          <w:sz w:val="24"/>
          <w:szCs w:val="24"/>
          <w:u w:val="single"/>
        </w:rPr>
        <w:t xml:space="preserve">（项目名称）      </w:t>
      </w:r>
      <w:r>
        <w:rPr>
          <w:rFonts w:hint="eastAsia" w:asciiTheme="majorEastAsia" w:hAnsiTheme="majorEastAsia" w:eastAsiaTheme="majorEastAsia" w:cstheme="majorEastAsia"/>
          <w:sz w:val="24"/>
          <w:szCs w:val="24"/>
        </w:rPr>
        <w:t>招标文件（包括补充和修正文件）（如有）的全部内容，并对此无异议，愿意以如下投标报价、服务地点、服务时间等承诺，按合同约定实施和完成承包项目。</w:t>
      </w:r>
    </w:p>
    <w:tbl>
      <w:tblPr>
        <w:tblStyle w:val="42"/>
        <w:tblW w:w="91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0"/>
        <w:gridCol w:w="6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530" w:type="dxa"/>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项目名称</w:t>
            </w:r>
          </w:p>
        </w:tc>
        <w:tc>
          <w:tcPr>
            <w:tcW w:w="6616" w:type="dxa"/>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宜昌交运集团客运有限公司客运一分公司客车修理厂客车轮胎采购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2530" w:type="dxa"/>
            <w:vMerge w:val="restart"/>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投标报价</w:t>
            </w:r>
          </w:p>
        </w:tc>
        <w:tc>
          <w:tcPr>
            <w:tcW w:w="6616" w:type="dxa"/>
            <w:vAlign w:val="center"/>
          </w:tcPr>
          <w:p>
            <w:pPr>
              <w:spacing w:line="480" w:lineRule="auto"/>
              <w:jc w:val="both"/>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大写：</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2530" w:type="dxa"/>
            <w:vMerge w:val="continue"/>
            <w:vAlign w:val="center"/>
          </w:tcPr>
          <w:p>
            <w:pPr>
              <w:jc w:val="center"/>
              <w:rPr>
                <w:rFonts w:hint="eastAsia" w:asciiTheme="majorEastAsia" w:hAnsiTheme="majorEastAsia" w:eastAsiaTheme="majorEastAsia" w:cstheme="majorEastAsia"/>
                <w:sz w:val="24"/>
                <w:szCs w:val="24"/>
              </w:rPr>
            </w:pPr>
          </w:p>
        </w:tc>
        <w:tc>
          <w:tcPr>
            <w:tcW w:w="6616" w:type="dxa"/>
            <w:vAlign w:val="center"/>
          </w:tcPr>
          <w:p>
            <w:pPr>
              <w:spacing w:line="480" w:lineRule="auto"/>
              <w:jc w:val="both"/>
              <w:rPr>
                <w:rFonts w:hint="eastAsia" w:asciiTheme="majorEastAsia" w:hAnsiTheme="majorEastAsia" w:eastAsiaTheme="majorEastAsia" w:cstheme="majorEastAsia"/>
                <w:sz w:val="24"/>
              </w:rPr>
            </w:pPr>
          </w:p>
          <w:p>
            <w:pPr>
              <w:spacing w:line="480" w:lineRule="auto"/>
              <w:jc w:val="both"/>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rPr>
              <w:t xml:space="preserve">小写： </w:t>
            </w:r>
            <w:r>
              <w:rPr>
                <w:rFonts w:hint="eastAsia" w:asciiTheme="majorEastAsia" w:hAnsiTheme="majorEastAsia" w:eastAsiaTheme="majorEastAsia" w:cstheme="majorEastAsia"/>
                <w:sz w:val="24"/>
                <w:u w:val="single"/>
              </w:rPr>
              <w:t xml:space="preserve">                     </w:t>
            </w:r>
            <w:r>
              <w:rPr>
                <w:rFonts w:hint="eastAsia" w:asciiTheme="majorEastAsia" w:hAnsiTheme="majorEastAsia" w:eastAsiaTheme="majorEastAsia" w:cstheme="majorEastAsia"/>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530" w:type="dxa"/>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供货时间</w:t>
            </w:r>
          </w:p>
        </w:tc>
        <w:tc>
          <w:tcPr>
            <w:tcW w:w="6616" w:type="dxa"/>
            <w:vAlign w:val="center"/>
          </w:tcPr>
          <w:p>
            <w:pPr>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530" w:type="dxa"/>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供货地点</w:t>
            </w:r>
          </w:p>
        </w:tc>
        <w:tc>
          <w:tcPr>
            <w:tcW w:w="6616" w:type="dxa"/>
            <w:vAlign w:val="center"/>
          </w:tcPr>
          <w:p>
            <w:pPr>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530" w:type="dxa"/>
            <w:vAlign w:val="center"/>
          </w:tcPr>
          <w:p>
            <w:pPr>
              <w:jc w:val="center"/>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服务期</w:t>
            </w:r>
          </w:p>
        </w:tc>
        <w:tc>
          <w:tcPr>
            <w:tcW w:w="6616" w:type="dxa"/>
            <w:vAlign w:val="center"/>
          </w:tcPr>
          <w:p>
            <w:pPr>
              <w:jc w:val="center"/>
              <w:rPr>
                <w:rFonts w:hint="eastAsia" w:asciiTheme="majorEastAsia" w:hAnsiTheme="majorEastAsia" w:eastAsiaTheme="majorEastAsia" w:cstheme="majorEastAsia"/>
                <w:sz w:val="24"/>
                <w:szCs w:val="24"/>
              </w:rPr>
            </w:pPr>
          </w:p>
        </w:tc>
      </w:tr>
    </w:tbl>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rPr>
        <w:t>2、一旦我方成为该项目的中标单位，我方保证</w:t>
      </w:r>
      <w:r>
        <w:rPr>
          <w:rFonts w:hint="eastAsia" w:asciiTheme="majorEastAsia" w:hAnsiTheme="majorEastAsia" w:eastAsiaTheme="majorEastAsia" w:cstheme="majorEastAsia"/>
          <w:bCs/>
          <w:sz w:val="24"/>
        </w:rPr>
        <w:t>遵守国家有关法律法规、执业准则和技术标准开展工作，并按照协议约定履行义务、完成任务，不转包委托业务。</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3、我方同意所提交的投标文件在招标文件的投标须知中规定的投标有效期内有效，在此期间内如果中标，我方将受此约束。</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4、我方已详细检查所有招标文件、附件以及所提供的参考文件，由模糊和误解产生的一切后果，由我方自负。</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5、我方若未</w:t>
      </w:r>
      <w:r>
        <w:rPr>
          <w:rFonts w:hint="eastAsia" w:asciiTheme="majorEastAsia" w:hAnsiTheme="majorEastAsia" w:eastAsiaTheme="majorEastAsia" w:cstheme="majorEastAsia"/>
          <w:bCs/>
          <w:sz w:val="24"/>
          <w:szCs w:val="24"/>
        </w:rPr>
        <w:t>成为中标单位</w:t>
      </w:r>
      <w:r>
        <w:rPr>
          <w:rFonts w:hint="eastAsia" w:asciiTheme="majorEastAsia" w:hAnsiTheme="majorEastAsia" w:eastAsiaTheme="majorEastAsia" w:cstheme="majorEastAsia"/>
          <w:sz w:val="24"/>
          <w:szCs w:val="24"/>
        </w:rPr>
        <w:t>，招标人有权不做任何解释。</w:t>
      </w:r>
    </w:p>
    <w:p>
      <w:pPr>
        <w:pStyle w:val="23"/>
        <w:snapToGrid w:val="0"/>
        <w:spacing w:line="440" w:lineRule="exact"/>
        <w:ind w:firstLine="480" w:firstLineChars="200"/>
        <w:jc w:val="left"/>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6、如果我方中标，保证无条件按照招标人的要求承担本项目服务工作。</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7、如我方中标：</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（1）我方承诺在收到中标通知书后，按照招标文件要求在中标通知书规定的期限内与你方签订合同。</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（2）我方承诺在合同约定的期限内完成并移交全部合同项目。</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（3）我方同意提供按照你方可能要求的与其投标有关一切数据或资料。 </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我方在此声明，我方代表经正式授权并代表投标人提交符合本项目招标文件要求的投标文件内容和份数。所递交的投标文件及有关资料内容完整、真实和准确，且不存在第二章“投标人须知”第1.4.3项和第1.4.4项规定的任何一种情形。</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9、其他补充说明：</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w:t>
      </w:r>
    </w:p>
    <w:p>
      <w:pPr>
        <w:pStyle w:val="23"/>
        <w:snapToGrid w:val="0"/>
        <w:spacing w:line="360" w:lineRule="auto"/>
        <w:rPr>
          <w:rFonts w:hint="eastAsia" w:asciiTheme="majorEastAsia" w:hAnsiTheme="majorEastAsia" w:eastAsiaTheme="majorEastAsia" w:cstheme="majorEastAsia"/>
          <w:sz w:val="24"/>
          <w:szCs w:val="24"/>
        </w:rPr>
      </w:pP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投 标 人（盖章）：</w:t>
      </w:r>
      <w:r>
        <w:rPr>
          <w:rFonts w:hint="eastAsia" w:asciiTheme="majorEastAsia" w:hAnsiTheme="majorEastAsia" w:eastAsiaTheme="majorEastAsia" w:cstheme="majorEastAsia"/>
          <w:sz w:val="24"/>
          <w:szCs w:val="24"/>
          <w:u w:val="single"/>
        </w:rPr>
        <w:t xml:space="preserve">                              </w:t>
      </w: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法定代表人或委托代理人（签字或盖章）：</w:t>
      </w:r>
      <w:r>
        <w:rPr>
          <w:rFonts w:hint="eastAsia" w:asciiTheme="majorEastAsia" w:hAnsiTheme="majorEastAsia" w:eastAsiaTheme="majorEastAsia" w:cstheme="majorEastAsia"/>
          <w:sz w:val="24"/>
          <w:szCs w:val="24"/>
          <w:u w:val="single"/>
        </w:rPr>
        <w:t xml:space="preserve">             </w:t>
      </w: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单位地址：</w:t>
      </w:r>
      <w:r>
        <w:rPr>
          <w:rFonts w:hint="eastAsia" w:asciiTheme="majorEastAsia" w:hAnsiTheme="majorEastAsia" w:eastAsiaTheme="majorEastAsia" w:cstheme="majorEastAsia"/>
          <w:sz w:val="24"/>
          <w:szCs w:val="24"/>
          <w:u w:val="single"/>
        </w:rPr>
        <w:t xml:space="preserve">                                     </w:t>
      </w: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邮政编码：</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电话：</w:t>
      </w:r>
      <w:r>
        <w:rPr>
          <w:rFonts w:hint="eastAsia" w:asciiTheme="majorEastAsia" w:hAnsiTheme="majorEastAsia" w:eastAsiaTheme="majorEastAsia" w:cstheme="majorEastAsia"/>
          <w:sz w:val="24"/>
          <w:szCs w:val="24"/>
          <w:u w:val="single"/>
        </w:rPr>
        <w:t xml:space="preserve">          </w:t>
      </w: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 xml:space="preserve">   </w:t>
      </w:r>
    </w:p>
    <w:p>
      <w:pPr>
        <w:pStyle w:val="23"/>
        <w:snapToGrid w:val="0"/>
        <w:spacing w:line="360" w:lineRule="auto"/>
        <w:ind w:firstLine="6000" w:firstLineChars="2500"/>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b/>
          <w:kern w:val="1"/>
          <w:sz w:val="24"/>
        </w:rPr>
      </w:pPr>
      <w:r>
        <w:rPr>
          <w:rFonts w:hint="eastAsia" w:asciiTheme="majorEastAsia" w:hAnsiTheme="majorEastAsia" w:eastAsiaTheme="majorEastAsia" w:cstheme="majorEastAsia"/>
          <w:b/>
          <w:kern w:val="1"/>
          <w:sz w:val="24"/>
        </w:rPr>
        <w:t>（二）分项报价表</w:t>
      </w:r>
    </w:p>
    <w:tbl>
      <w:tblPr>
        <w:tblStyle w:val="42"/>
        <w:tblW w:w="10768" w:type="dxa"/>
        <w:jc w:val="center"/>
        <w:tblLayout w:type="fixed"/>
        <w:tblCellMar>
          <w:top w:w="0" w:type="dxa"/>
          <w:left w:w="108" w:type="dxa"/>
          <w:bottom w:w="0" w:type="dxa"/>
          <w:right w:w="108" w:type="dxa"/>
        </w:tblCellMar>
      </w:tblPr>
      <w:tblGrid>
        <w:gridCol w:w="533"/>
        <w:gridCol w:w="1860"/>
        <w:gridCol w:w="660"/>
        <w:gridCol w:w="900"/>
        <w:gridCol w:w="687"/>
        <w:gridCol w:w="695"/>
        <w:gridCol w:w="710"/>
        <w:gridCol w:w="722"/>
        <w:gridCol w:w="900"/>
        <w:gridCol w:w="791"/>
        <w:gridCol w:w="791"/>
        <w:gridCol w:w="668"/>
        <w:gridCol w:w="851"/>
      </w:tblGrid>
      <w:tr>
        <w:trPr>
          <w:trHeight w:val="392" w:hRule="atLeast"/>
          <w:jc w:val="center"/>
        </w:trPr>
        <w:tc>
          <w:tcPr>
            <w:tcW w:w="533"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序号</w:t>
            </w:r>
          </w:p>
        </w:tc>
        <w:tc>
          <w:tcPr>
            <w:tcW w:w="18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轮胎规格</w:t>
            </w:r>
          </w:p>
        </w:tc>
        <w:tc>
          <w:tcPr>
            <w:tcW w:w="66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lang w:eastAsia="zh-CN"/>
              </w:rPr>
            </w:pPr>
            <w:r>
              <w:rPr>
                <w:rFonts w:hint="eastAsia" w:asciiTheme="majorEastAsia" w:hAnsiTheme="majorEastAsia" w:eastAsiaTheme="majorEastAsia" w:cstheme="majorEastAsia"/>
                <w:b/>
                <w:bCs/>
                <w:color w:val="C00000"/>
                <w:kern w:val="0"/>
                <w:szCs w:val="21"/>
                <w:highlight w:val="none"/>
              </w:rPr>
              <w:t>年需求量</w:t>
            </w:r>
          </w:p>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(条)</w:t>
            </w:r>
          </w:p>
        </w:tc>
        <w:tc>
          <w:tcPr>
            <w:tcW w:w="90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lang w:eastAsia="zh-CN"/>
              </w:rPr>
            </w:pPr>
            <w:r>
              <w:rPr>
                <w:rFonts w:hint="eastAsia" w:asciiTheme="majorEastAsia" w:hAnsiTheme="majorEastAsia" w:eastAsiaTheme="majorEastAsia" w:cstheme="majorEastAsia"/>
                <w:b/>
                <w:bCs/>
                <w:color w:val="C00000"/>
                <w:kern w:val="0"/>
                <w:szCs w:val="21"/>
                <w:highlight w:val="none"/>
              </w:rPr>
              <w:t>单价</w:t>
            </w:r>
          </w:p>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(元/条)</w:t>
            </w:r>
          </w:p>
        </w:tc>
        <w:tc>
          <w:tcPr>
            <w:tcW w:w="68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lang w:eastAsia="zh-CN"/>
              </w:rPr>
            </w:pPr>
            <w:r>
              <w:rPr>
                <w:rFonts w:hint="eastAsia" w:asciiTheme="majorEastAsia" w:hAnsiTheme="majorEastAsia" w:eastAsiaTheme="majorEastAsia" w:cstheme="majorEastAsia"/>
                <w:b/>
                <w:bCs/>
                <w:color w:val="C00000"/>
                <w:kern w:val="0"/>
                <w:szCs w:val="21"/>
                <w:highlight w:val="none"/>
              </w:rPr>
              <w:t>金额</w:t>
            </w:r>
          </w:p>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(元)</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品牌</w:t>
            </w:r>
          </w:p>
        </w:tc>
        <w:tc>
          <w:tcPr>
            <w:tcW w:w="71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花纹代号</w:t>
            </w:r>
          </w:p>
        </w:tc>
        <w:tc>
          <w:tcPr>
            <w:tcW w:w="2413"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技术指标</w:t>
            </w:r>
          </w:p>
        </w:tc>
        <w:tc>
          <w:tcPr>
            <w:tcW w:w="791"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生产厂家</w:t>
            </w:r>
          </w:p>
        </w:tc>
        <w:tc>
          <w:tcPr>
            <w:tcW w:w="668"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产品质量</w:t>
            </w:r>
          </w:p>
        </w:tc>
        <w:tc>
          <w:tcPr>
            <w:tcW w:w="851"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是否偏离技术要求</w:t>
            </w:r>
          </w:p>
        </w:tc>
      </w:tr>
      <w:tr>
        <w:tblPrEx>
          <w:tblCellMar>
            <w:top w:w="0" w:type="dxa"/>
            <w:left w:w="108" w:type="dxa"/>
            <w:bottom w:w="0" w:type="dxa"/>
            <w:right w:w="108" w:type="dxa"/>
          </w:tblCellMar>
        </w:tblPrEx>
        <w:trPr>
          <w:trHeight w:val="524" w:hRule="atLeast"/>
          <w:jc w:val="center"/>
        </w:trPr>
        <w:tc>
          <w:tcPr>
            <w:tcW w:w="53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66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9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6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层级数</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单胎负荷指数</w:t>
            </w: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C00000"/>
                <w:kern w:val="0"/>
                <w:szCs w:val="21"/>
                <w:highlight w:val="none"/>
              </w:rPr>
            </w:pPr>
            <w:r>
              <w:rPr>
                <w:rFonts w:hint="eastAsia" w:asciiTheme="majorEastAsia" w:hAnsiTheme="majorEastAsia" w:eastAsiaTheme="majorEastAsia" w:cstheme="majorEastAsia"/>
                <w:b/>
                <w:bCs/>
                <w:color w:val="C00000"/>
                <w:kern w:val="0"/>
                <w:szCs w:val="21"/>
                <w:highlight w:val="none"/>
              </w:rPr>
              <w:t>速度等级</w:t>
            </w:r>
          </w:p>
        </w:tc>
        <w:tc>
          <w:tcPr>
            <w:tcW w:w="79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66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C00000"/>
                <w:kern w:val="0"/>
                <w:sz w:val="24"/>
                <w:szCs w:val="24"/>
                <w:highlight w:val="none"/>
              </w:rPr>
            </w:pPr>
          </w:p>
        </w:tc>
      </w:tr>
      <w:tr>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1</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6.50R16</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4</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nil"/>
              <w:right w:val="nil"/>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r>
      <w:tr>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2</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7.00R16</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10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3</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8R22.5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4</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4</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9R22.5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100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r>
      <w:tr>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5</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10R22.5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40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6</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11R22.5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420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7</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295/80R22.5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40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r>
      <w:tr>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8</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295/80R22.5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40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bookmarkStart w:id="292" w:name="_GoBack"/>
            <w:bookmarkEnd w:id="292"/>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lang w:val="en-US" w:eastAsia="zh-CN"/>
              </w:rPr>
            </w:pPr>
            <w:r>
              <w:rPr>
                <w:rFonts w:hint="eastAsia" w:asciiTheme="majorEastAsia" w:hAnsiTheme="majorEastAsia" w:eastAsiaTheme="majorEastAsia" w:cstheme="majorEastAsia"/>
                <w:color w:val="C00000"/>
                <w:kern w:val="0"/>
                <w:sz w:val="24"/>
                <w:szCs w:val="24"/>
                <w:highlight w:val="none"/>
                <w:lang w:val="en-US" w:eastAsia="zh-CN"/>
              </w:rPr>
              <w:t>9</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C00000"/>
                <w:kern w:val="0"/>
                <w:sz w:val="26"/>
                <w:szCs w:val="26"/>
                <w:highlight w:val="none"/>
                <w:u w:val="none"/>
                <w:lang w:val="en-US" w:eastAsia="zh-CN" w:bidi="ar"/>
              </w:rPr>
            </w:pPr>
            <w:r>
              <w:rPr>
                <w:rFonts w:hint="eastAsia" w:ascii="仿宋_GB2312" w:hAnsi="宋体" w:eastAsia="仿宋_GB2312" w:cs="仿宋_GB2312"/>
                <w:i w:val="0"/>
                <w:iCs w:val="0"/>
                <w:color w:val="C00000"/>
                <w:kern w:val="0"/>
                <w:sz w:val="26"/>
                <w:szCs w:val="26"/>
                <w:highlight w:val="none"/>
                <w:u w:val="none"/>
                <w:lang w:val="en-US" w:eastAsia="zh-CN" w:bidi="ar"/>
              </w:rPr>
              <w:t>295/80R22.5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40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default" w:asciiTheme="majorEastAsia" w:hAnsiTheme="majorEastAsia" w:eastAsiaTheme="majorEastAsia" w:cstheme="majorEastAsia"/>
                <w:color w:val="C00000"/>
                <w:kern w:val="0"/>
                <w:sz w:val="24"/>
                <w:szCs w:val="24"/>
                <w:highlight w:val="none"/>
                <w:lang w:val="en-US" w:eastAsia="zh-CN"/>
              </w:rPr>
            </w:pPr>
            <w:r>
              <w:rPr>
                <w:rFonts w:hint="eastAsia" w:asciiTheme="majorEastAsia" w:hAnsiTheme="majorEastAsia" w:eastAsiaTheme="majorEastAsia" w:cstheme="majorEastAsia"/>
                <w:color w:val="C00000"/>
                <w:kern w:val="0"/>
                <w:sz w:val="24"/>
                <w:szCs w:val="24"/>
                <w:highlight w:val="none"/>
                <w:lang w:val="en-US" w:eastAsia="zh-CN"/>
              </w:rPr>
              <w:t>10</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C00000"/>
                <w:kern w:val="0"/>
                <w:sz w:val="26"/>
                <w:szCs w:val="26"/>
                <w:highlight w:val="none"/>
                <w:u w:val="none"/>
                <w:lang w:val="en-US" w:eastAsia="zh-CN" w:bidi="ar"/>
              </w:rPr>
            </w:pPr>
            <w:r>
              <w:rPr>
                <w:rFonts w:hint="eastAsia" w:ascii="仿宋_GB2312" w:hAnsi="宋体" w:eastAsia="仿宋_GB2312" w:cs="仿宋_GB2312"/>
                <w:i w:val="0"/>
                <w:iCs w:val="0"/>
                <w:color w:val="C00000"/>
                <w:kern w:val="0"/>
                <w:sz w:val="26"/>
                <w:szCs w:val="26"/>
                <w:highlight w:val="none"/>
                <w:u w:val="none"/>
                <w:lang w:val="en-US" w:eastAsia="zh-CN" w:bidi="ar"/>
              </w:rPr>
              <w:t>215/70R16LT</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6</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default" w:asciiTheme="majorEastAsia" w:hAnsiTheme="majorEastAsia" w:eastAsiaTheme="majorEastAsia" w:cstheme="majorEastAsia"/>
                <w:color w:val="C00000"/>
                <w:kern w:val="0"/>
                <w:sz w:val="24"/>
                <w:szCs w:val="24"/>
                <w:highlight w:val="none"/>
                <w:lang w:val="en-US" w:eastAsia="zh-CN"/>
              </w:rPr>
            </w:pPr>
            <w:r>
              <w:rPr>
                <w:rFonts w:hint="eastAsia" w:asciiTheme="majorEastAsia" w:hAnsiTheme="majorEastAsia" w:eastAsiaTheme="majorEastAsia" w:cstheme="majorEastAsia"/>
                <w:color w:val="C00000"/>
                <w:kern w:val="0"/>
                <w:sz w:val="24"/>
                <w:szCs w:val="24"/>
                <w:highlight w:val="none"/>
                <w:lang w:val="en-US" w:eastAsia="zh-CN"/>
              </w:rPr>
              <w:t>11</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C00000"/>
                <w:kern w:val="0"/>
                <w:sz w:val="26"/>
                <w:szCs w:val="26"/>
                <w:highlight w:val="none"/>
                <w:u w:val="none"/>
                <w:lang w:val="en-US" w:eastAsia="zh-CN" w:bidi="ar"/>
              </w:rPr>
            </w:pPr>
            <w:r>
              <w:rPr>
                <w:rFonts w:hint="eastAsia" w:ascii="仿宋_GB2312" w:hAnsi="宋体" w:eastAsia="仿宋_GB2312" w:cs="仿宋_GB2312"/>
                <w:i w:val="0"/>
                <w:iCs w:val="0"/>
                <w:color w:val="C00000"/>
                <w:kern w:val="0"/>
                <w:sz w:val="26"/>
                <w:szCs w:val="26"/>
                <w:highlight w:val="none"/>
                <w:u w:val="none"/>
                <w:lang w:val="en-US" w:eastAsia="zh-CN" w:bidi="ar"/>
              </w:rPr>
              <w:t>215/75R17.5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10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C00000"/>
                <w:kern w:val="0"/>
                <w:sz w:val="24"/>
                <w:szCs w:val="24"/>
                <w:highlight w:val="none"/>
              </w:rPr>
            </w:pPr>
          </w:p>
        </w:tc>
      </w:tr>
      <w:tr>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default" w:asciiTheme="majorEastAsia" w:hAnsiTheme="majorEastAsia" w:eastAsiaTheme="majorEastAsia" w:cstheme="majorEastAsia"/>
                <w:color w:val="C00000"/>
                <w:kern w:val="0"/>
                <w:sz w:val="24"/>
                <w:szCs w:val="24"/>
                <w:highlight w:val="none"/>
                <w:lang w:val="en-US" w:eastAsia="zh-CN"/>
              </w:rPr>
            </w:pPr>
            <w:r>
              <w:rPr>
                <w:rFonts w:hint="eastAsia" w:asciiTheme="majorEastAsia" w:hAnsiTheme="majorEastAsia" w:eastAsiaTheme="majorEastAsia" w:cstheme="majorEastAsia"/>
                <w:color w:val="C00000"/>
                <w:kern w:val="0"/>
                <w:sz w:val="24"/>
                <w:szCs w:val="24"/>
                <w:highlight w:val="none"/>
                <w:lang w:val="en-US" w:eastAsia="zh-CN"/>
              </w:rPr>
              <w:t>12</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C00000"/>
                <w:kern w:val="0"/>
                <w:sz w:val="26"/>
                <w:szCs w:val="26"/>
                <w:highlight w:val="none"/>
                <w:u w:val="none"/>
                <w:lang w:val="en-US" w:eastAsia="zh-CN" w:bidi="ar"/>
              </w:rPr>
            </w:pPr>
            <w:r>
              <w:rPr>
                <w:rFonts w:hint="eastAsia" w:ascii="仿宋_GB2312" w:hAnsi="宋体" w:eastAsia="仿宋_GB2312" w:cs="仿宋_GB2312"/>
                <w:i w:val="0"/>
                <w:iCs w:val="0"/>
                <w:color w:val="C00000"/>
                <w:kern w:val="0"/>
                <w:sz w:val="26"/>
                <w:szCs w:val="26"/>
                <w:highlight w:val="none"/>
                <w:u w:val="none"/>
                <w:lang w:val="en-US" w:eastAsia="zh-CN" w:bidi="ar"/>
              </w:rPr>
              <w:t>185/65R15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10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default" w:asciiTheme="majorEastAsia" w:hAnsiTheme="majorEastAsia" w:eastAsiaTheme="majorEastAsia" w:cstheme="majorEastAsia"/>
                <w:color w:val="C00000"/>
                <w:kern w:val="0"/>
                <w:sz w:val="24"/>
                <w:szCs w:val="24"/>
                <w:highlight w:val="none"/>
                <w:lang w:val="en-US" w:eastAsia="zh-CN"/>
              </w:rPr>
            </w:pPr>
            <w:r>
              <w:rPr>
                <w:rFonts w:hint="eastAsia" w:asciiTheme="majorEastAsia" w:hAnsiTheme="majorEastAsia" w:eastAsiaTheme="majorEastAsia" w:cstheme="majorEastAsia"/>
                <w:color w:val="C00000"/>
                <w:kern w:val="0"/>
                <w:sz w:val="24"/>
                <w:szCs w:val="24"/>
                <w:highlight w:val="none"/>
                <w:lang w:val="en-US" w:eastAsia="zh-CN"/>
              </w:rPr>
              <w:t>13</w:t>
            </w: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C00000"/>
                <w:kern w:val="0"/>
                <w:sz w:val="26"/>
                <w:szCs w:val="26"/>
                <w:highlight w:val="none"/>
                <w:u w:val="none"/>
                <w:lang w:val="en-US" w:eastAsia="zh-CN" w:bidi="ar"/>
              </w:rPr>
            </w:pPr>
            <w:r>
              <w:rPr>
                <w:rFonts w:hint="eastAsia" w:ascii="仿宋_GB2312" w:hAnsi="宋体" w:eastAsia="仿宋_GB2312" w:cs="仿宋_GB2312"/>
                <w:i w:val="0"/>
                <w:iCs w:val="0"/>
                <w:color w:val="C00000"/>
                <w:kern w:val="0"/>
                <w:sz w:val="26"/>
                <w:szCs w:val="26"/>
                <w:highlight w:val="none"/>
                <w:u w:val="none"/>
                <w:lang w:val="en-US" w:eastAsia="zh-CN" w:bidi="ar"/>
              </w:rPr>
              <w:t>195/65R15</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30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533"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lang w:val="en-US" w:eastAsia="zh-CN"/>
              </w:rPr>
            </w:pPr>
            <w:r>
              <w:rPr>
                <w:rFonts w:hint="eastAsia" w:asciiTheme="majorEastAsia" w:hAnsiTheme="majorEastAsia" w:eastAsiaTheme="majorEastAsia" w:cstheme="majorEastAsia"/>
                <w:color w:val="C00000"/>
                <w:kern w:val="0"/>
                <w:sz w:val="24"/>
                <w:szCs w:val="24"/>
                <w:highlight w:val="none"/>
                <w:lang w:val="en-US" w:eastAsia="zh-CN"/>
              </w:rPr>
              <w:t>14</w:t>
            </w:r>
          </w:p>
          <w:p>
            <w:pPr>
              <w:pStyle w:val="2"/>
              <w:rPr>
                <w:rFonts w:hint="default"/>
                <w:color w:val="C00000"/>
                <w:highlight w:val="none"/>
                <w:lang w:val="en-US" w:eastAsia="zh-CN"/>
              </w:rPr>
            </w:pPr>
          </w:p>
        </w:tc>
        <w:tc>
          <w:tcPr>
            <w:tcW w:w="18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C00000"/>
                <w:kern w:val="0"/>
                <w:sz w:val="26"/>
                <w:szCs w:val="26"/>
                <w:highlight w:val="none"/>
                <w:u w:val="none"/>
                <w:lang w:val="en-US" w:eastAsia="zh-CN" w:bidi="ar"/>
              </w:rPr>
            </w:pPr>
            <w:r>
              <w:rPr>
                <w:rFonts w:hint="eastAsia" w:ascii="仿宋_GB2312" w:hAnsi="宋体" w:eastAsia="仿宋_GB2312" w:cs="仿宋_GB2312"/>
                <w:i w:val="0"/>
                <w:iCs w:val="0"/>
                <w:color w:val="C00000"/>
                <w:kern w:val="0"/>
                <w:sz w:val="26"/>
                <w:szCs w:val="26"/>
                <w:highlight w:val="none"/>
                <w:u w:val="none"/>
                <w:lang w:val="en-US" w:eastAsia="zh-CN" w:bidi="ar"/>
              </w:rPr>
              <w:t>245/70R19.5-16</w:t>
            </w:r>
          </w:p>
        </w:tc>
        <w:tc>
          <w:tcPr>
            <w:tcW w:w="66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ajorEastAsia" w:hAnsiTheme="majorEastAsia" w:eastAsiaTheme="majorEastAsia" w:cstheme="majorEastAsia"/>
                <w:color w:val="C00000"/>
                <w:kern w:val="0"/>
                <w:sz w:val="24"/>
                <w:szCs w:val="24"/>
                <w:highlight w:val="none"/>
              </w:rPr>
            </w:pPr>
            <w:r>
              <w:rPr>
                <w:rFonts w:hint="eastAsia" w:ascii="仿宋_GB2312" w:hAnsi="宋体" w:eastAsia="仿宋_GB2312" w:cs="仿宋_GB2312"/>
                <w:i w:val="0"/>
                <w:iCs w:val="0"/>
                <w:color w:val="C00000"/>
                <w:kern w:val="0"/>
                <w:sz w:val="26"/>
                <w:szCs w:val="26"/>
                <w:highlight w:val="none"/>
                <w:u w:val="none"/>
                <w:lang w:val="en-US" w:eastAsia="zh-CN" w:bidi="ar"/>
              </w:rPr>
              <w:t>30</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C00000"/>
                <w:kern w:val="0"/>
                <w:sz w:val="24"/>
                <w:szCs w:val="24"/>
                <w:highlight w:val="none"/>
              </w:rPr>
            </w:pPr>
          </w:p>
        </w:tc>
      </w:tr>
      <w:tr>
        <w:tblPrEx>
          <w:tblCellMar>
            <w:top w:w="0" w:type="dxa"/>
            <w:left w:w="108" w:type="dxa"/>
            <w:bottom w:w="0" w:type="dxa"/>
            <w:right w:w="108" w:type="dxa"/>
          </w:tblCellMar>
        </w:tblPrEx>
        <w:trPr>
          <w:trHeight w:val="484" w:hRule="atLeast"/>
          <w:jc w:val="center"/>
        </w:trPr>
        <w:tc>
          <w:tcPr>
            <w:tcW w:w="2393"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r>
              <w:rPr>
                <w:rFonts w:hint="eastAsia" w:asciiTheme="majorEastAsia" w:hAnsiTheme="majorEastAsia" w:eastAsiaTheme="majorEastAsia" w:cstheme="majorEastAsia"/>
                <w:color w:val="C00000"/>
                <w:kern w:val="0"/>
                <w:sz w:val="24"/>
                <w:szCs w:val="24"/>
                <w:highlight w:val="none"/>
              </w:rPr>
              <w:t>合计</w:t>
            </w:r>
          </w:p>
        </w:tc>
        <w:tc>
          <w:tcPr>
            <w:tcW w:w="660" w:type="dxa"/>
            <w:tcBorders>
              <w:top w:val="nil"/>
              <w:left w:val="nil"/>
              <w:bottom w:val="single" w:color="auto" w:sz="4" w:space="0"/>
              <w:right w:val="single" w:color="auto" w:sz="4" w:space="0"/>
            </w:tcBorders>
            <w:vAlign w:val="center"/>
          </w:tcPr>
          <w:p>
            <w:pPr>
              <w:widowControl/>
              <w:jc w:val="center"/>
              <w:rPr>
                <w:rFonts w:hint="default"/>
                <w:color w:val="C00000"/>
                <w:highlight w:val="none"/>
                <w:lang w:val="en-US" w:eastAsia="zh-CN"/>
              </w:rPr>
            </w:pPr>
            <w:r>
              <w:rPr>
                <w:rFonts w:hint="eastAsia"/>
                <w:color w:val="C00000"/>
                <w:highlight w:val="none"/>
                <w:lang w:val="en-US" w:eastAsia="zh-CN"/>
              </w:rPr>
              <w:t>784</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C00000"/>
                <w:kern w:val="0"/>
                <w:sz w:val="24"/>
                <w:szCs w:val="24"/>
                <w:highlight w:val="none"/>
              </w:rPr>
            </w:pPr>
          </w:p>
        </w:tc>
      </w:tr>
      <w:tr>
        <w:trPr>
          <w:trHeight w:val="2069" w:hRule="atLeast"/>
          <w:jc w:val="center"/>
        </w:trPr>
        <w:tc>
          <w:tcPr>
            <w:tcW w:w="10768" w:type="dxa"/>
            <w:gridSpan w:val="13"/>
            <w:tcBorders>
              <w:top w:val="nil"/>
              <w:left w:val="nil"/>
              <w:bottom w:val="nil"/>
              <w:right w:val="nil"/>
            </w:tcBorders>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300" w:firstLine="482" w:firstLineChars="200"/>
              <w:jc w:val="left"/>
              <w:textAlignment w:val="auto"/>
              <w:rPr>
                <w:rFonts w:hint="eastAsia" w:ascii="宋体" w:hAnsi="宋体" w:eastAsia="宋体" w:cs="宋体"/>
                <w:b/>
                <w:bCs/>
                <w:color w:val="C00000"/>
                <w:kern w:val="2"/>
                <w:sz w:val="24"/>
                <w:szCs w:val="24"/>
                <w:highlight w:val="none"/>
                <w:shd w:val="clear" w:color="auto" w:fill="FFFFFF"/>
                <w:lang w:val="en-US" w:eastAsia="zh-CN" w:bidi="ar"/>
              </w:rPr>
            </w:pPr>
            <w:r>
              <w:rPr>
                <w:rFonts w:hint="eastAsia" w:ascii="宋体" w:hAnsi="宋体" w:eastAsia="宋体" w:cs="宋体"/>
                <w:b/>
                <w:bCs/>
                <w:color w:val="C00000"/>
                <w:kern w:val="2"/>
                <w:sz w:val="24"/>
                <w:szCs w:val="24"/>
                <w:highlight w:val="none"/>
                <w:shd w:val="clear" w:color="auto" w:fill="FFFFFF"/>
                <w:lang w:val="en-US" w:eastAsia="zh-CN" w:bidi="ar"/>
              </w:rPr>
              <w:t>说明：1、国产品牌包括不限于：佳通、双钱、回力、正新、朝阳、好运、三角、玲珑等；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300" w:firstLine="482" w:firstLineChars="200"/>
              <w:jc w:val="left"/>
              <w:textAlignment w:val="auto"/>
              <w:rPr>
                <w:rFonts w:hint="eastAsia" w:ascii="宋体" w:hAnsi="宋体" w:eastAsia="宋体" w:cs="宋体"/>
                <w:b/>
                <w:bCs/>
                <w:color w:val="C00000"/>
                <w:kern w:val="2"/>
                <w:sz w:val="24"/>
                <w:szCs w:val="24"/>
                <w:highlight w:val="none"/>
                <w:shd w:val="clear" w:color="auto" w:fill="FFFFFF"/>
                <w:lang w:val="en-US" w:eastAsia="zh-CN" w:bidi="ar"/>
              </w:rPr>
            </w:pPr>
            <w:r>
              <w:rPr>
                <w:rFonts w:hint="eastAsia" w:ascii="宋体" w:hAnsi="宋体" w:eastAsia="宋体" w:cs="宋体"/>
                <w:b/>
                <w:bCs/>
                <w:color w:val="C00000"/>
                <w:kern w:val="2"/>
                <w:sz w:val="24"/>
                <w:szCs w:val="24"/>
                <w:highlight w:val="none"/>
                <w:shd w:val="clear" w:color="auto" w:fill="FFFFFF"/>
                <w:lang w:val="en-US" w:eastAsia="zh-CN" w:bidi="ar"/>
              </w:rPr>
              <w:t>2、进口品牌包括不限于：米其林、普利司通、固特异、倍耐力等；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300" w:firstLine="482" w:firstLineChars="200"/>
              <w:jc w:val="left"/>
              <w:textAlignment w:val="auto"/>
              <w:rPr>
                <w:rFonts w:hint="eastAsia" w:ascii="宋体" w:hAnsi="宋体" w:eastAsia="宋体" w:cs="宋体"/>
                <w:b/>
                <w:bCs/>
                <w:color w:val="C00000"/>
                <w:kern w:val="2"/>
                <w:sz w:val="24"/>
                <w:szCs w:val="24"/>
                <w:highlight w:val="none"/>
                <w:shd w:val="clear" w:color="auto" w:fill="FFFFFF"/>
                <w:lang w:val="en-US" w:eastAsia="zh-CN" w:bidi="ar"/>
              </w:rPr>
            </w:pPr>
            <w:r>
              <w:rPr>
                <w:rFonts w:hint="eastAsia" w:ascii="宋体" w:hAnsi="宋体" w:eastAsia="宋体" w:cs="宋体"/>
                <w:b/>
                <w:bCs/>
                <w:color w:val="C00000"/>
                <w:kern w:val="2"/>
                <w:sz w:val="24"/>
                <w:szCs w:val="24"/>
                <w:highlight w:val="none"/>
                <w:shd w:val="clear" w:color="auto" w:fill="FFFFFF"/>
                <w:lang w:val="en-US" w:eastAsia="zh-CN" w:bidi="ar"/>
              </w:rPr>
              <w:t>3、花纹必须符合客车在高速、城市、郊区等路面行驶；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300" w:firstLine="482" w:firstLineChars="200"/>
              <w:jc w:val="left"/>
              <w:textAlignment w:val="auto"/>
              <w:rPr>
                <w:rFonts w:hint="eastAsia" w:ascii="宋体" w:hAnsi="宋体" w:eastAsia="宋体" w:cs="宋体"/>
                <w:b/>
                <w:bCs/>
                <w:color w:val="C00000"/>
                <w:kern w:val="2"/>
                <w:sz w:val="24"/>
                <w:szCs w:val="24"/>
                <w:highlight w:val="none"/>
                <w:shd w:val="clear" w:color="auto" w:fill="FFFFFF"/>
                <w:lang w:val="en-US" w:eastAsia="zh-CN" w:bidi="ar"/>
              </w:rPr>
            </w:pPr>
            <w:r>
              <w:rPr>
                <w:rFonts w:hint="eastAsia" w:ascii="宋体" w:hAnsi="宋体" w:eastAsia="宋体" w:cs="宋体"/>
                <w:b/>
                <w:bCs/>
                <w:color w:val="C00000"/>
                <w:kern w:val="2"/>
                <w:sz w:val="24"/>
                <w:szCs w:val="24"/>
                <w:highlight w:val="none"/>
                <w:shd w:val="clear" w:color="auto" w:fill="FFFFFF"/>
                <w:lang w:val="en-US" w:eastAsia="zh-CN" w:bidi="ar"/>
              </w:rPr>
              <w:t>4、质量要求必须是全新合格产品。</w:t>
            </w:r>
          </w:p>
          <w:p>
            <w:pPr>
              <w:widowControl/>
              <w:spacing w:line="440" w:lineRule="exact"/>
              <w:ind w:left="359" w:leftChars="171"/>
              <w:jc w:val="left"/>
              <w:rPr>
                <w:rFonts w:hint="eastAsia" w:asciiTheme="majorEastAsia" w:hAnsiTheme="majorEastAsia" w:eastAsiaTheme="majorEastAsia" w:cstheme="majorEastAsia"/>
                <w:color w:val="C00000"/>
                <w:kern w:val="0"/>
                <w:sz w:val="24"/>
                <w:szCs w:val="24"/>
                <w:highlight w:val="none"/>
              </w:rPr>
            </w:pPr>
          </w:p>
        </w:tc>
      </w:tr>
    </w:tbl>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13"/>
        <w:widowControl/>
        <w:spacing w:after="240" w:line="360" w:lineRule="auto"/>
        <w:outlineLvl w:val="3"/>
        <w:rPr>
          <w:rFonts w:hint="eastAsia" w:asciiTheme="majorEastAsia" w:hAnsiTheme="majorEastAsia" w:eastAsiaTheme="majorEastAsia" w:cstheme="majorEastAsia"/>
          <w:kern w:val="1"/>
          <w:sz w:val="24"/>
        </w:rPr>
      </w:pPr>
    </w:p>
    <w:p>
      <w:pPr>
        <w:pStyle w:val="213"/>
        <w:widowControl/>
        <w:spacing w:after="240" w:line="360" w:lineRule="auto"/>
        <w:outlineLvl w:val="3"/>
        <w:rPr>
          <w:rFonts w:hint="eastAsia" w:asciiTheme="majorEastAsia" w:hAnsiTheme="majorEastAsia" w:eastAsiaTheme="majorEastAsia" w:cstheme="majorEastAsia"/>
          <w:kern w:val="1"/>
          <w:sz w:val="24"/>
        </w:rPr>
      </w:pPr>
    </w:p>
    <w:p>
      <w:pPr>
        <w:pStyle w:val="213"/>
        <w:widowControl/>
        <w:spacing w:after="240" w:line="360" w:lineRule="auto"/>
        <w:outlineLvl w:val="3"/>
        <w:rPr>
          <w:rFonts w:hint="eastAsia" w:asciiTheme="majorEastAsia" w:hAnsiTheme="majorEastAsia" w:eastAsiaTheme="majorEastAsia" w:cstheme="majorEastAsia"/>
          <w:kern w:val="1"/>
          <w:sz w:val="24"/>
        </w:rPr>
      </w:pPr>
    </w:p>
    <w:p>
      <w:pPr>
        <w:rPr>
          <w:rFonts w:hint="eastAsia" w:asciiTheme="majorEastAsia" w:hAnsiTheme="majorEastAsia" w:eastAsiaTheme="majorEastAsia" w:cstheme="majorEastAsia"/>
          <w:kern w:val="1"/>
          <w:sz w:val="24"/>
        </w:rPr>
      </w:pPr>
    </w:p>
    <w:bookmarkEnd w:id="247"/>
    <w:bookmarkEnd w:id="248"/>
    <w:bookmarkEnd w:id="249"/>
    <w:bookmarkEnd w:id="250"/>
    <w:bookmarkEnd w:id="251"/>
    <w:bookmarkEnd w:id="252"/>
    <w:p>
      <w:pPr>
        <w:pStyle w:val="85"/>
        <w:widowControl/>
        <w:spacing w:after="240" w:line="440" w:lineRule="exact"/>
        <w:jc w:val="center"/>
        <w:outlineLvl w:val="3"/>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（三）法定代表人身份证明</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 标 人：</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单位性质：</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    址：</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成立时间：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经营期限：</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姓    名：</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性        别：</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年    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职        务：</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（投标人名称）的法定代表人。</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特此证明。</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（盖单位章）</w:t>
      </w: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日 </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备注:附法定代表人身份证复印件</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after="240" w:line="440" w:lineRule="exact"/>
        <w:jc w:val="center"/>
        <w:outlineLvl w:val="3"/>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br w:type="page"/>
      </w:r>
      <w:r>
        <w:rPr>
          <w:rFonts w:hint="eastAsia" w:asciiTheme="majorEastAsia" w:hAnsiTheme="majorEastAsia" w:eastAsiaTheme="majorEastAsia" w:cstheme="majorEastAsia"/>
          <w:b/>
          <w:sz w:val="24"/>
          <w:szCs w:val="24"/>
        </w:rPr>
        <w:t>（四）授权委托书</w:t>
      </w:r>
    </w:p>
    <w:p>
      <w:pPr>
        <w:pStyle w:val="85"/>
        <w:widowControl/>
        <w:spacing w:line="440" w:lineRule="exact"/>
        <w:jc w:val="left"/>
        <w:rPr>
          <w:rFonts w:hint="eastAsia" w:asciiTheme="majorEastAsia" w:hAnsiTheme="majorEastAsia" w:eastAsiaTheme="majorEastAsia" w:cstheme="majorEastAsia"/>
        </w:rPr>
      </w:pPr>
    </w:p>
    <w:p>
      <w:pPr>
        <w:pStyle w:val="85"/>
        <w:widowControl/>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（投标人名称）的法定代表人，现委托</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（姓名）为我方代理人。代理人根据授权，以我方名义澄清、说明、补正、递交、撤回、修改</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（项目名称）投标文件、签订合同和处理有关事宜，其法律后果由我方承担。</w:t>
      </w:r>
    </w:p>
    <w:p>
      <w:pPr>
        <w:pStyle w:val="85"/>
        <w:widowControl/>
        <w:spacing w:line="440" w:lineRule="exact"/>
        <w:jc w:val="left"/>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委托期限：</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代理人无转委托权。</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附：法定代表人身份证（复印件）</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  标  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（盖单位章）</w:t>
      </w:r>
    </w:p>
    <w:p>
      <w:pPr>
        <w:pStyle w:val="85"/>
        <w:widowControl/>
        <w:spacing w:line="440" w:lineRule="exact"/>
        <w:jc w:val="right"/>
        <w:rPr>
          <w:rFonts w:hint="eastAsia" w:asciiTheme="majorEastAsia" w:hAnsiTheme="majorEastAsia" w:eastAsiaTheme="majorEastAsia" w:cstheme="majorEastAsia"/>
          <w:sz w:val="24"/>
          <w:szCs w:val="24"/>
        </w:rPr>
      </w:pP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（签章）</w:t>
      </w:r>
    </w:p>
    <w:p>
      <w:pPr>
        <w:pStyle w:val="85"/>
        <w:widowControl/>
        <w:spacing w:line="440" w:lineRule="exact"/>
        <w:jc w:val="right"/>
        <w:rPr>
          <w:rFonts w:hint="eastAsia" w:asciiTheme="majorEastAsia" w:hAnsiTheme="majorEastAsia" w:eastAsiaTheme="majorEastAsia" w:cstheme="majorEastAsia"/>
          <w:sz w:val="24"/>
          <w:szCs w:val="24"/>
        </w:rPr>
      </w:pPr>
    </w:p>
    <w:p>
      <w:pPr>
        <w:pStyle w:val="85"/>
        <w:widowControl/>
        <w:kinsoku w:val="0"/>
        <w:overflowPunct w:val="0"/>
        <w:autoSpaceDE w:val="0"/>
        <w:autoSpaceDN w:val="0"/>
        <w:spacing w:line="440" w:lineRule="exact"/>
        <w:ind w:firstLine="4399" w:firstLineChars="1833"/>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身份证号码：</w:t>
      </w:r>
      <w:r>
        <w:rPr>
          <w:rFonts w:hint="eastAsia" w:asciiTheme="majorEastAsia" w:hAnsiTheme="majorEastAsia" w:eastAsiaTheme="majorEastAsia" w:cstheme="majorEastAsia"/>
          <w:sz w:val="24"/>
          <w:szCs w:val="24"/>
          <w:u w:val="single"/>
        </w:rPr>
        <w:t xml:space="preserve">                                   </w:t>
      </w:r>
    </w:p>
    <w:p>
      <w:pPr>
        <w:pStyle w:val="85"/>
        <w:widowControl/>
        <w:kinsoku w:val="0"/>
        <w:overflowPunct w:val="0"/>
        <w:autoSpaceDE w:val="0"/>
        <w:autoSpaceDN w:val="0"/>
        <w:spacing w:line="440" w:lineRule="exact"/>
        <w:jc w:val="left"/>
        <w:rPr>
          <w:rFonts w:hint="eastAsia" w:asciiTheme="majorEastAsia" w:hAnsiTheme="majorEastAsia" w:eastAsiaTheme="majorEastAsia" w:cstheme="majorEastAsia"/>
          <w:sz w:val="24"/>
          <w:szCs w:val="24"/>
        </w:rPr>
      </w:pPr>
    </w:p>
    <w:p>
      <w:pPr>
        <w:pStyle w:val="85"/>
        <w:widowControl/>
        <w:kinsoku w:val="0"/>
        <w:overflowPunct w:val="0"/>
        <w:autoSpaceDE w:val="0"/>
        <w:autoSpaceDN w:val="0"/>
        <w:spacing w:line="440" w:lineRule="exact"/>
        <w:ind w:firstLine="4416" w:firstLineChars="184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委托代理人：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p>
    <w:p>
      <w:pPr>
        <w:pStyle w:val="85"/>
        <w:widowControl/>
        <w:kinsoku w:val="0"/>
        <w:overflowPunct w:val="0"/>
        <w:autoSpaceDE w:val="0"/>
        <w:autoSpaceDN w:val="0"/>
        <w:spacing w:line="440" w:lineRule="exact"/>
        <w:jc w:val="left"/>
        <w:rPr>
          <w:rFonts w:hint="eastAsia" w:asciiTheme="majorEastAsia" w:hAnsiTheme="majorEastAsia" w:eastAsiaTheme="majorEastAsia" w:cstheme="majorEastAsia"/>
          <w:sz w:val="24"/>
          <w:szCs w:val="24"/>
        </w:rPr>
      </w:pPr>
    </w:p>
    <w:p>
      <w:pPr>
        <w:pStyle w:val="85"/>
        <w:widowControl/>
        <w:kinsoku w:val="0"/>
        <w:overflowPunct w:val="0"/>
        <w:autoSpaceDE w:val="0"/>
        <w:autoSpaceDN w:val="0"/>
        <w:spacing w:line="440" w:lineRule="exact"/>
        <w:ind w:firstLine="4399" w:firstLineChars="1833"/>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身份证号码：</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备注: 附委托代理人身份证复印件</w:t>
      </w:r>
    </w:p>
    <w:p>
      <w:pPr>
        <w:pStyle w:val="2"/>
        <w:spacing w:line="440" w:lineRule="exact"/>
        <w:ind w:firstLine="480"/>
        <w:rPr>
          <w:rFonts w:hint="eastAsia" w:asciiTheme="majorEastAsia" w:hAnsiTheme="majorEastAsia" w:eastAsiaTheme="majorEastAsia" w:cstheme="majorEastAsia"/>
          <w:sz w:val="24"/>
          <w:u w:val="single"/>
        </w:rPr>
      </w:pPr>
    </w:p>
    <w:p>
      <w:pPr>
        <w:pStyle w:val="2"/>
        <w:spacing w:line="480" w:lineRule="auto"/>
        <w:ind w:firstLine="480"/>
        <w:rPr>
          <w:rFonts w:hint="eastAsia" w:asciiTheme="majorEastAsia" w:hAnsiTheme="majorEastAsia" w:eastAsiaTheme="majorEastAsia" w:cstheme="majorEastAsia"/>
          <w:sz w:val="24"/>
          <w:u w:val="single"/>
        </w:rPr>
      </w:pPr>
    </w:p>
    <w:p>
      <w:pPr>
        <w:pStyle w:val="4"/>
        <w:ind w:firstLine="312"/>
        <w:rPr>
          <w:rFonts w:hint="eastAsia" w:asciiTheme="majorEastAsia" w:hAnsiTheme="majorEastAsia" w:eastAsiaTheme="majorEastAsia" w:cstheme="majorEastAsia"/>
          <w:sz w:val="24"/>
          <w:szCs w:val="24"/>
        </w:rPr>
      </w:pPr>
      <w:bookmarkStart w:id="257" w:name="_Toc18603120"/>
      <w:bookmarkStart w:id="258" w:name="_Toc14221"/>
      <w:bookmarkStart w:id="259" w:name="_Toc23389_WPSOffice_Level2"/>
      <w:bookmarkStart w:id="260" w:name="_Toc14602"/>
      <w:r>
        <w:rPr>
          <w:rFonts w:hint="eastAsia" w:asciiTheme="majorEastAsia" w:hAnsiTheme="majorEastAsia" w:eastAsiaTheme="majorEastAsia" w:cstheme="majorEastAsia"/>
          <w:sz w:val="24"/>
          <w:szCs w:val="24"/>
        </w:rPr>
        <w:t>（五）投标人情况介绍</w:t>
      </w:r>
      <w:bookmarkEnd w:id="257"/>
      <w:bookmarkEnd w:id="258"/>
      <w:bookmarkEnd w:id="259"/>
      <w:bookmarkEnd w:id="260"/>
    </w:p>
    <w:p>
      <w:pPr>
        <w:rPr>
          <w:rFonts w:hint="eastAsia" w:asciiTheme="majorEastAsia" w:hAnsiTheme="majorEastAsia" w:eastAsiaTheme="majorEastAsia" w:cstheme="majorEastAsia"/>
        </w:rPr>
      </w:pPr>
    </w:p>
    <w:tbl>
      <w:tblPr>
        <w:tblStyle w:val="42"/>
        <w:tblW w:w="9900" w:type="dxa"/>
        <w:jc w:val="center"/>
        <w:tblLayout w:type="fixed"/>
        <w:tblCellMar>
          <w:top w:w="0" w:type="dxa"/>
          <w:left w:w="108" w:type="dxa"/>
          <w:bottom w:w="0" w:type="dxa"/>
          <w:right w:w="108" w:type="dxa"/>
        </w:tblCellMar>
      </w:tblPr>
      <w:tblGrid>
        <w:gridCol w:w="2269"/>
        <w:gridCol w:w="1291"/>
        <w:gridCol w:w="1159"/>
        <w:gridCol w:w="212"/>
        <w:gridCol w:w="1236"/>
        <w:gridCol w:w="23"/>
        <w:gridCol w:w="576"/>
        <w:gridCol w:w="688"/>
        <w:gridCol w:w="2446"/>
      </w:tblGrid>
      <w:tr>
        <w:trPr>
          <w:trHeight w:val="207" w:hRule="atLeast"/>
          <w:jc w:val="center"/>
        </w:trPr>
        <w:tc>
          <w:tcPr>
            <w:tcW w:w="9900" w:type="dxa"/>
            <w:gridSpan w:val="9"/>
            <w:tcBorders>
              <w:top w:val="single" w:color="000000" w:sz="12"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1 、单位简况</w:t>
            </w: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单位名称</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ind w:right="480"/>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联系人</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通讯地址</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联系电话</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邮编</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传真</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营业执照注册地</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营业执照注册号</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1"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注册资金</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经济性质</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rPr>
          <w:trHeight w:val="202" w:hRule="atLeast"/>
          <w:jc w:val="center"/>
        </w:trPr>
        <w:tc>
          <w:tcPr>
            <w:tcW w:w="9900" w:type="dxa"/>
            <w:gridSpan w:val="9"/>
            <w:tcBorders>
              <w:top w:val="single" w:color="000000" w:sz="6"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2 、公司经营及资金状况</w:t>
            </w: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开户银行及地址</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开户账号</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1"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资产总额</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万元</w:t>
            </w: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固定资产</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万元</w:t>
            </w:r>
          </w:p>
        </w:tc>
      </w:tr>
      <w:tr>
        <w:tblPrEx>
          <w:tblCellMar>
            <w:top w:w="0" w:type="dxa"/>
            <w:left w:w="108" w:type="dxa"/>
            <w:bottom w:w="0" w:type="dxa"/>
            <w:right w:w="108" w:type="dxa"/>
          </w:tblCellMar>
        </w:tblPrEx>
        <w:trPr>
          <w:trHeight w:val="391" w:hRule="atLeast"/>
          <w:jc w:val="center"/>
        </w:trPr>
        <w:tc>
          <w:tcPr>
            <w:tcW w:w="2269" w:type="dxa"/>
            <w:vMerge w:val="restart"/>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近三年收入数据表</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财务年度</w:t>
            </w: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收入（ 万元）</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备注</w:t>
            </w:r>
          </w:p>
        </w:tc>
      </w:tr>
      <w:tr>
        <w:tblPrEx>
          <w:tblCellMar>
            <w:top w:w="0" w:type="dxa"/>
            <w:left w:w="108" w:type="dxa"/>
            <w:bottom w:w="0" w:type="dxa"/>
            <w:right w:w="108" w:type="dxa"/>
          </w:tblCellMar>
        </w:tblPrEx>
        <w:trPr>
          <w:trHeight w:val="202" w:hRule="atLeast"/>
          <w:jc w:val="center"/>
        </w:trPr>
        <w:tc>
          <w:tcPr>
            <w:tcW w:w="2269" w:type="dxa"/>
            <w:vMerge w:val="continue"/>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vMerge w:val="continue"/>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1" w:hRule="atLeast"/>
          <w:jc w:val="center"/>
        </w:trPr>
        <w:tc>
          <w:tcPr>
            <w:tcW w:w="2269" w:type="dxa"/>
            <w:vMerge w:val="continue"/>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9900" w:type="dxa"/>
            <w:gridSpan w:val="9"/>
            <w:tcBorders>
              <w:top w:val="single" w:color="000000" w:sz="6"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3 、投标人相关资质证书（认证证书）、荣誉一览表</w:t>
            </w: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证书名称</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发证单位</w:t>
            </w: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证书等级</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证书有限期</w:t>
            </w:r>
          </w:p>
        </w:tc>
      </w:tr>
      <w:tr>
        <w:tblPrEx>
          <w:tblCellMar>
            <w:top w:w="0" w:type="dxa"/>
            <w:left w:w="108" w:type="dxa"/>
            <w:bottom w:w="0" w:type="dxa"/>
            <w:right w:w="108" w:type="dxa"/>
          </w:tblCellMar>
        </w:tblPrEx>
        <w:trPr>
          <w:trHeight w:val="201"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9900" w:type="dxa"/>
            <w:gridSpan w:val="9"/>
            <w:tcBorders>
              <w:top w:val="single" w:color="000000" w:sz="6"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4 、企业人员情况介绍</w:t>
            </w: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法定代表人姓名</w:t>
            </w:r>
          </w:p>
        </w:tc>
        <w:tc>
          <w:tcPr>
            <w:tcW w:w="1291" w:type="dxa"/>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371"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职务</w:t>
            </w:r>
          </w:p>
        </w:tc>
        <w:tc>
          <w:tcPr>
            <w:tcW w:w="1259" w:type="dxa"/>
            <w:gridSpan w:val="2"/>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264"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职称</w:t>
            </w:r>
          </w:p>
        </w:tc>
        <w:tc>
          <w:tcPr>
            <w:tcW w:w="2446" w:type="dxa"/>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项目总负责人姓名</w:t>
            </w:r>
          </w:p>
        </w:tc>
        <w:tc>
          <w:tcPr>
            <w:tcW w:w="1291" w:type="dxa"/>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371"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职务</w:t>
            </w:r>
          </w:p>
        </w:tc>
        <w:tc>
          <w:tcPr>
            <w:tcW w:w="1259" w:type="dxa"/>
            <w:gridSpan w:val="2"/>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264"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职称</w:t>
            </w:r>
          </w:p>
        </w:tc>
        <w:tc>
          <w:tcPr>
            <w:tcW w:w="2446" w:type="dxa"/>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技术总负责人姓名</w:t>
            </w:r>
          </w:p>
        </w:tc>
        <w:tc>
          <w:tcPr>
            <w:tcW w:w="1291" w:type="dxa"/>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371"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职务</w:t>
            </w:r>
          </w:p>
        </w:tc>
        <w:tc>
          <w:tcPr>
            <w:tcW w:w="1259" w:type="dxa"/>
            <w:gridSpan w:val="2"/>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264"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职称</w:t>
            </w:r>
          </w:p>
        </w:tc>
        <w:tc>
          <w:tcPr>
            <w:tcW w:w="2446" w:type="dxa"/>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3560" w:type="dxa"/>
            <w:gridSpan w:val="2"/>
            <w:tcBorders>
              <w:top w:val="single" w:color="000000" w:sz="6" w:space="0"/>
              <w:left w:val="single" w:color="000000" w:sz="12" w:space="0"/>
              <w:bottom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607" w:type="dxa"/>
            <w:gridSpan w:val="3"/>
            <w:tcBorders>
              <w:top w:val="single" w:color="000000" w:sz="6" w:space="0"/>
              <w:bottom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5 、企业概述</w:t>
            </w:r>
          </w:p>
        </w:tc>
        <w:tc>
          <w:tcPr>
            <w:tcW w:w="3733" w:type="dxa"/>
            <w:gridSpan w:val="4"/>
            <w:tcBorders>
              <w:top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rPr>
          <w:trHeight w:val="390" w:hRule="atLeast"/>
          <w:jc w:val="center"/>
        </w:trPr>
        <w:tc>
          <w:tcPr>
            <w:tcW w:w="9900" w:type="dxa"/>
            <w:gridSpan w:val="9"/>
            <w:tcBorders>
              <w:top w:val="single" w:color="000000" w:sz="6"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kern w:val="2"/>
              </w:rPr>
            </w:pPr>
            <w:r>
              <w:rPr>
                <w:rFonts w:hint="eastAsia" w:asciiTheme="majorEastAsia" w:hAnsiTheme="majorEastAsia" w:eastAsiaTheme="majorEastAsia" w:cstheme="majorEastAsia"/>
                <w:color w:val="auto"/>
                <w:kern w:val="2"/>
              </w:rPr>
              <w:t>（包括投标人获奖情况等)</w:t>
            </w: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both"/>
              <w:rPr>
                <w:rFonts w:hint="eastAsia" w:asciiTheme="majorEastAsia" w:hAnsiTheme="majorEastAsia" w:eastAsiaTheme="majorEastAsia" w:cstheme="majorEastAsia"/>
                <w:color w:val="auto"/>
              </w:rPr>
            </w:pPr>
          </w:p>
        </w:tc>
      </w:tr>
    </w:tbl>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附：提供相关资质证书、认证证书、荣誉证书复印件加盖单位公章。</w:t>
      </w:r>
    </w:p>
    <w:p>
      <w:pPr>
        <w:spacing w:line="360" w:lineRule="auto"/>
        <w:ind w:firstLine="480" w:firstLineChars="200"/>
        <w:rPr>
          <w:rFonts w:hint="eastAsia" w:asciiTheme="majorEastAsia" w:hAnsiTheme="majorEastAsia" w:eastAsiaTheme="majorEastAsia" w:cstheme="majorEastAsia"/>
          <w:sz w:val="24"/>
          <w:szCs w:val="24"/>
        </w:rPr>
      </w:pPr>
    </w:p>
    <w:p>
      <w:pPr>
        <w:pStyle w:val="23"/>
        <w:snapToGrid w:val="0"/>
        <w:spacing w:line="360" w:lineRule="auto"/>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投 标 人（盖章）：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360" w:lineRule="auto"/>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法定代表人或委托代理人（签字或盖章）：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360" w:lineRule="auto"/>
        <w:rPr>
          <w:rFonts w:hint="eastAsia" w:asciiTheme="majorEastAsia" w:hAnsiTheme="majorEastAsia" w:eastAsiaTheme="majorEastAsia" w:cstheme="majorEastAsia"/>
          <w:spacing w:val="20"/>
          <w:sz w:val="24"/>
          <w:szCs w:val="24"/>
        </w:rPr>
      </w:pPr>
      <w:r>
        <w:rPr>
          <w:rFonts w:hint="eastAsia" w:asciiTheme="majorEastAsia" w:hAnsiTheme="majorEastAsia" w:eastAsiaTheme="majorEastAsia" w:cstheme="majorEastAsia"/>
          <w:spacing w:val="20"/>
          <w:sz w:val="24"/>
          <w:szCs w:val="24"/>
        </w:rPr>
        <w:t xml:space="preserve">  </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年</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月</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日</w:t>
      </w:r>
    </w:p>
    <w:p>
      <w:pPr>
        <w:rPr>
          <w:rFonts w:hint="eastAsia" w:asciiTheme="majorEastAsia" w:hAnsiTheme="majorEastAsia" w:eastAsiaTheme="majorEastAsia" w:cstheme="majorEastAsia"/>
          <w:spacing w:val="20"/>
          <w:sz w:val="24"/>
          <w:szCs w:val="24"/>
        </w:rPr>
      </w:pPr>
      <w:r>
        <w:rPr>
          <w:rFonts w:hint="eastAsia" w:asciiTheme="majorEastAsia" w:hAnsiTheme="majorEastAsia" w:eastAsiaTheme="majorEastAsia" w:cstheme="majorEastAsia"/>
          <w:spacing w:val="20"/>
          <w:sz w:val="24"/>
          <w:szCs w:val="24"/>
        </w:rPr>
        <w:br w:type="page"/>
      </w:r>
    </w:p>
    <w:p>
      <w:pPr>
        <w:pStyle w:val="4"/>
        <w:rPr>
          <w:rFonts w:hint="eastAsia" w:asciiTheme="majorEastAsia" w:hAnsiTheme="majorEastAsia" w:eastAsiaTheme="majorEastAsia" w:cstheme="majorEastAsia"/>
        </w:rPr>
      </w:pPr>
      <w:bookmarkStart w:id="261" w:name="_Toc2065"/>
      <w:bookmarkStart w:id="262" w:name="_Toc18603124"/>
      <w:bookmarkStart w:id="263" w:name="_Toc19215"/>
      <w:bookmarkStart w:id="264" w:name="_Toc14237_WPSOffice_Level2"/>
      <w:r>
        <w:rPr>
          <w:rFonts w:hint="eastAsia" w:asciiTheme="majorEastAsia" w:hAnsiTheme="majorEastAsia" w:eastAsiaTheme="majorEastAsia" w:cstheme="majorEastAsia"/>
        </w:rPr>
        <w:t>（六）类似供货业绩</w:t>
      </w:r>
      <w:bookmarkEnd w:id="261"/>
      <w:bookmarkEnd w:id="262"/>
      <w:bookmarkEnd w:id="263"/>
      <w:bookmarkEnd w:id="264"/>
    </w:p>
    <w:p>
      <w:pPr>
        <w:rPr>
          <w:rFonts w:hint="eastAsia" w:asciiTheme="majorEastAsia" w:hAnsiTheme="majorEastAsia" w:eastAsiaTheme="majorEastAsia" w:cstheme="majorEastAsia"/>
        </w:rPr>
      </w:pPr>
    </w:p>
    <w:tbl>
      <w:tblPr>
        <w:tblStyle w:val="42"/>
        <w:tblW w:w="9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3"/>
        <w:gridCol w:w="1896"/>
        <w:gridCol w:w="1704"/>
        <w:gridCol w:w="2049"/>
        <w:gridCol w:w="2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使用单位</w:t>
            </w:r>
          </w:p>
        </w:tc>
        <w:tc>
          <w:tcPr>
            <w:tcW w:w="1896"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项目名称及数量</w:t>
            </w:r>
          </w:p>
        </w:tc>
        <w:tc>
          <w:tcPr>
            <w:tcW w:w="1704"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供货时间</w:t>
            </w:r>
          </w:p>
        </w:tc>
        <w:tc>
          <w:tcPr>
            <w:tcW w:w="2049"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合同金额（万元）</w:t>
            </w:r>
          </w:p>
        </w:tc>
        <w:tc>
          <w:tcPr>
            <w:tcW w:w="2137"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证明人及联系电话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bl>
    <w:p>
      <w:pPr>
        <w:rPr>
          <w:rFonts w:hint="eastAsia" w:asciiTheme="majorEastAsia" w:hAnsiTheme="majorEastAsia" w:eastAsiaTheme="majorEastAsia" w:cstheme="majorEastAsia"/>
        </w:rPr>
      </w:pPr>
    </w:p>
    <w:p>
      <w:pPr>
        <w:pStyle w:val="157"/>
        <w:rPr>
          <w:rFonts w:hint="eastAsia" w:asciiTheme="majorEastAsia" w:hAnsiTheme="majorEastAsia" w:eastAsiaTheme="majorEastAsia" w:cstheme="majorEastAsia"/>
          <w:color w:val="auto"/>
        </w:rPr>
      </w:pPr>
    </w:p>
    <w:p>
      <w:pPr>
        <w:pStyle w:val="164"/>
        <w:ind w:right="1415"/>
        <w:rPr>
          <w:rFonts w:hint="eastAsia" w:asciiTheme="majorEastAsia" w:hAnsiTheme="majorEastAsia" w:eastAsiaTheme="majorEastAsia" w:cstheme="majorEastAsia"/>
        </w:rPr>
      </w:pPr>
      <w:r>
        <w:rPr>
          <w:rFonts w:hint="eastAsia" w:asciiTheme="majorEastAsia" w:hAnsiTheme="majorEastAsia" w:eastAsiaTheme="majorEastAsia" w:cstheme="majorEastAsia"/>
        </w:rPr>
        <w:t>说明：相关业绩均需提供项目合同等证明材料复印件，加盖单位公章。</w:t>
      </w:r>
    </w:p>
    <w:p>
      <w:pPr>
        <w:pStyle w:val="164"/>
        <w:ind w:right="1415"/>
        <w:rPr>
          <w:rFonts w:hint="eastAsia" w:asciiTheme="majorEastAsia" w:hAnsiTheme="majorEastAsia" w:eastAsiaTheme="majorEastAsia" w:cstheme="majorEastAsia"/>
        </w:rPr>
      </w:pPr>
    </w:p>
    <w:p>
      <w:pPr>
        <w:pStyle w:val="157"/>
        <w:rPr>
          <w:rFonts w:hint="eastAsia" w:asciiTheme="majorEastAsia" w:hAnsiTheme="majorEastAsia" w:eastAsiaTheme="majorEastAsia" w:cstheme="majorEastAsia"/>
        </w:rPr>
      </w:pPr>
    </w:p>
    <w:p>
      <w:pPr>
        <w:pStyle w:val="23"/>
        <w:snapToGrid w:val="0"/>
        <w:spacing w:line="360" w:lineRule="auto"/>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投 标 人（盖章）：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360" w:lineRule="auto"/>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法定代表人或委托代理人（签字或盖章）：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360" w:lineRule="auto"/>
        <w:ind w:firstLine="4760" w:firstLineChars="1700"/>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 xml:space="preserve">  </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年</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月</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日</w:t>
      </w:r>
    </w:p>
    <w:p>
      <w:pPr>
        <w:pStyle w:val="259"/>
        <w:ind w:left="5250" w:firstLine="320"/>
        <w:rPr>
          <w:rFonts w:hint="eastAsia" w:asciiTheme="majorEastAsia" w:hAnsiTheme="majorEastAsia" w:eastAsiaTheme="majorEastAsia" w:cstheme="majorEastAsia"/>
        </w:rPr>
      </w:pPr>
    </w:p>
    <w:p>
      <w:pPr>
        <w:pStyle w:val="259"/>
        <w:ind w:left="5250" w:firstLine="320"/>
        <w:rPr>
          <w:rFonts w:hint="eastAsia" w:asciiTheme="majorEastAsia" w:hAnsiTheme="majorEastAsia" w:eastAsiaTheme="majorEastAsia" w:cstheme="majorEastAsia"/>
          <w:sz w:val="32"/>
          <w:szCs w:val="32"/>
        </w:rPr>
      </w:pPr>
    </w:p>
    <w:p>
      <w:pPr>
        <w:pStyle w:val="157"/>
        <w:rPr>
          <w:rFonts w:hint="eastAsia" w:asciiTheme="majorEastAsia" w:hAnsiTheme="majorEastAsia" w:eastAsiaTheme="majorEastAsia" w:cstheme="majorEastAsia"/>
          <w:color w:val="auto"/>
          <w:sz w:val="32"/>
          <w:szCs w:val="32"/>
        </w:rPr>
      </w:pPr>
    </w:p>
    <w:p>
      <w:pP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br w:type="page"/>
      </w:r>
    </w:p>
    <w:p>
      <w:pPr>
        <w:pStyle w:val="4"/>
        <w:rPr>
          <w:rFonts w:hint="eastAsia" w:asciiTheme="majorEastAsia" w:hAnsiTheme="majorEastAsia" w:eastAsiaTheme="majorEastAsia" w:cstheme="majorEastAsia"/>
        </w:rPr>
      </w:pPr>
      <w:bookmarkStart w:id="265" w:name="_Toc18603125"/>
      <w:bookmarkStart w:id="266" w:name="_Toc4276_WPSOffice_Level2"/>
      <w:bookmarkStart w:id="267" w:name="_Toc7751"/>
      <w:bookmarkStart w:id="268" w:name="_Toc9490"/>
      <w:r>
        <w:rPr>
          <w:rFonts w:hint="eastAsia" w:asciiTheme="majorEastAsia" w:hAnsiTheme="majorEastAsia" w:eastAsiaTheme="majorEastAsia" w:cstheme="majorEastAsia"/>
        </w:rPr>
        <w:t>（七）</w:t>
      </w:r>
      <w:bookmarkEnd w:id="265"/>
      <w:bookmarkEnd w:id="266"/>
      <w:bookmarkEnd w:id="267"/>
      <w:bookmarkStart w:id="269" w:name="_Toc18603126"/>
      <w:bookmarkStart w:id="270" w:name="_Toc4773_WPSOffice_Level2"/>
      <w:bookmarkStart w:id="271" w:name="_Toc29561"/>
      <w:r>
        <w:rPr>
          <w:rFonts w:hint="eastAsia" w:asciiTheme="majorEastAsia" w:hAnsiTheme="majorEastAsia" w:eastAsiaTheme="majorEastAsia" w:cstheme="majorEastAsia"/>
        </w:rPr>
        <w:t>资格审查资料</w:t>
      </w:r>
      <w:bookmarkEnd w:id="268"/>
      <w:bookmarkEnd w:id="269"/>
      <w:bookmarkEnd w:id="270"/>
      <w:bookmarkEnd w:id="271"/>
    </w:p>
    <w:p>
      <w:pPr>
        <w:spacing w:line="360" w:lineRule="auto"/>
        <w:rPr>
          <w:rFonts w:hint="eastAsia" w:asciiTheme="majorEastAsia" w:hAnsiTheme="majorEastAsia" w:eastAsiaTheme="majorEastAsia" w:cstheme="majorEastAsia"/>
          <w:sz w:val="28"/>
          <w:szCs w:val="28"/>
          <w:lang w:val="zh-CN"/>
        </w:rPr>
      </w:pPr>
    </w:p>
    <w:p>
      <w:pPr>
        <w:spacing w:line="360" w:lineRule="auto"/>
        <w:ind w:firstLine="960" w:firstLineChars="400"/>
        <w:jc w:val="left"/>
        <w:rPr>
          <w:rFonts w:hint="eastAsia" w:asciiTheme="majorEastAsia" w:hAnsiTheme="majorEastAsia" w:eastAsiaTheme="majorEastAsia" w:cstheme="majorEastAsia"/>
          <w:sz w:val="24"/>
          <w:szCs w:val="24"/>
          <w:lang w:val="zh-CN"/>
        </w:rPr>
      </w:pPr>
      <w:r>
        <w:rPr>
          <w:rFonts w:hint="eastAsia" w:asciiTheme="majorEastAsia" w:hAnsiTheme="majorEastAsia" w:eastAsiaTheme="majorEastAsia" w:cstheme="majorEastAsia"/>
          <w:sz w:val="24"/>
          <w:szCs w:val="24"/>
          <w:lang w:val="zh-CN"/>
        </w:rPr>
        <w:t>投标人对照资格审查条件提交相关资料。</w:t>
      </w:r>
    </w:p>
    <w:p>
      <w:pPr>
        <w:spacing w:line="360" w:lineRule="auto"/>
        <w:ind w:firstLine="579" w:firstLineChars="207"/>
        <w:rPr>
          <w:rFonts w:hint="eastAsia" w:asciiTheme="majorEastAsia" w:hAnsiTheme="majorEastAsia" w:eastAsiaTheme="majorEastAsia" w:cstheme="majorEastAsia"/>
          <w:sz w:val="28"/>
          <w:szCs w:val="28"/>
          <w:lang w:val="zh-CN"/>
        </w:rPr>
      </w:pPr>
    </w:p>
    <w:p>
      <w:pPr>
        <w:spacing w:before="240"/>
        <w:rPr>
          <w:rFonts w:hint="eastAsia" w:asciiTheme="majorEastAsia" w:hAnsiTheme="majorEastAsia" w:eastAsiaTheme="majorEastAsia" w:cstheme="majorEastAsia"/>
          <w:b/>
          <w:kern w:val="1"/>
        </w:rPr>
      </w:pPr>
    </w:p>
    <w:p>
      <w:pPr>
        <w:spacing w:before="240" w:after="120"/>
        <w:jc w:val="center"/>
        <w:rPr>
          <w:rFonts w:hint="eastAsia" w:asciiTheme="majorEastAsia" w:hAnsiTheme="majorEastAsia" w:eastAsiaTheme="majorEastAsia" w:cstheme="majorEastAsia"/>
          <w:b/>
          <w:kern w:val="1"/>
        </w:rPr>
      </w:pPr>
    </w:p>
    <w:p>
      <w:pPr>
        <w:spacing w:before="240" w:after="120"/>
        <w:jc w:val="center"/>
        <w:rPr>
          <w:rFonts w:hint="eastAsia" w:asciiTheme="majorEastAsia" w:hAnsiTheme="majorEastAsia" w:eastAsiaTheme="majorEastAsia" w:cstheme="majorEastAsia"/>
          <w:b/>
          <w:kern w:val="1"/>
        </w:rPr>
      </w:pPr>
    </w:p>
    <w:p>
      <w:pPr>
        <w:spacing w:before="240" w:after="120"/>
        <w:jc w:val="center"/>
        <w:rPr>
          <w:rFonts w:hint="eastAsia" w:asciiTheme="majorEastAsia" w:hAnsiTheme="majorEastAsia" w:eastAsiaTheme="majorEastAsia" w:cstheme="majorEastAsia"/>
          <w:b/>
          <w:kern w:val="1"/>
        </w:rPr>
      </w:pPr>
    </w:p>
    <w:p>
      <w:pPr>
        <w:spacing w:before="240" w:after="120"/>
        <w:jc w:val="center"/>
        <w:rPr>
          <w:rFonts w:hint="eastAsia" w:asciiTheme="majorEastAsia" w:hAnsiTheme="majorEastAsia" w:eastAsiaTheme="majorEastAsia" w:cstheme="majorEastAsia"/>
          <w:b/>
          <w:kern w:val="1"/>
        </w:rPr>
      </w:pPr>
    </w:p>
    <w:p>
      <w:pPr>
        <w:rPr>
          <w:rFonts w:hint="eastAsia" w:asciiTheme="majorEastAsia" w:hAnsiTheme="majorEastAsia" w:eastAsiaTheme="majorEastAsia" w:cstheme="majorEastAsia"/>
        </w:rPr>
      </w:pPr>
    </w:p>
    <w:p>
      <w:pPr>
        <w:pStyle w:val="85"/>
        <w:ind w:firstLine="850" w:firstLineChars="405"/>
        <w:rPr>
          <w:rFonts w:hint="eastAsia" w:asciiTheme="majorEastAsia" w:hAnsiTheme="majorEastAsia" w:eastAsiaTheme="majorEastAsia" w:cstheme="majorEastAsia"/>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rPr>
          <w:rFonts w:hint="eastAsia" w:asciiTheme="majorEastAsia" w:hAnsiTheme="majorEastAsia" w:eastAsiaTheme="majorEastAsia" w:cstheme="majorEastAsia"/>
          <w:szCs w:val="21"/>
        </w:rPr>
      </w:pPr>
      <w:bookmarkStart w:id="272" w:name="_Toc29116_WPSOffice_Level2"/>
      <w:bookmarkStart w:id="273" w:name="_Toc502848426"/>
      <w:bookmarkStart w:id="274" w:name="_Toc17216939"/>
      <w:bookmarkStart w:id="275" w:name="_Toc224610186"/>
      <w:bookmarkStart w:id="276" w:name="_Toc224958888"/>
      <w:bookmarkStart w:id="277" w:name="_Toc299971966"/>
      <w:bookmarkStart w:id="278" w:name="_Toc224955783"/>
      <w:bookmarkStart w:id="279" w:name="_Toc224609915"/>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r>
        <w:rPr>
          <w:rFonts w:hint="eastAsia" w:asciiTheme="majorEastAsia" w:hAnsiTheme="majorEastAsia" w:eastAsiaTheme="majorEastAsia" w:cstheme="majorEastAsia"/>
          <w:b/>
          <w:kern w:val="1"/>
          <w:sz w:val="28"/>
        </w:rPr>
        <w:t>（八）承诺函</w:t>
      </w:r>
      <w:bookmarkEnd w:id="272"/>
      <w:bookmarkEnd w:id="273"/>
    </w:p>
    <w:p>
      <w:pPr>
        <w:pStyle w:val="23"/>
        <w:snapToGrid w:val="0"/>
        <w:spacing w:line="600" w:lineRule="exact"/>
        <w:ind w:firstLine="0"/>
        <w:jc w:val="left"/>
        <w:rPr>
          <w:rFonts w:hint="eastAsia" w:asciiTheme="majorEastAsia" w:hAnsiTheme="majorEastAsia" w:eastAsiaTheme="majorEastAsia" w:cstheme="majorEastAsia"/>
          <w:sz w:val="24"/>
          <w:u w:val="single"/>
        </w:rPr>
      </w:pPr>
      <w:r>
        <w:rPr>
          <w:rFonts w:hint="eastAsia" w:asciiTheme="majorEastAsia" w:hAnsiTheme="majorEastAsia" w:eastAsiaTheme="majorEastAsia" w:cstheme="majorEastAsia"/>
          <w:sz w:val="24"/>
        </w:rPr>
        <w:t>致：</w:t>
      </w:r>
      <w:r>
        <w:rPr>
          <w:rFonts w:hint="eastAsia" w:asciiTheme="majorEastAsia" w:hAnsiTheme="majorEastAsia" w:eastAsiaTheme="majorEastAsia" w:cstheme="majorEastAsia"/>
          <w:sz w:val="24"/>
          <w:u w:val="single"/>
        </w:rPr>
        <w:t>（招标人）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u w:val="single"/>
        </w:rPr>
        <w:t xml:space="preserve">         </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1、我公司具有独立承担民事责任的能力。</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2、我公司具有良好的商业信誉和健全的财务会计制度。</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3、我公司具有履行合同所必需的设备、人员和专业技术能力。</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4、我公司自201</w:t>
      </w:r>
      <w:r>
        <w:rPr>
          <w:rFonts w:hint="eastAsia" w:asciiTheme="majorEastAsia" w:hAnsiTheme="majorEastAsia" w:eastAsiaTheme="majorEastAsia" w:cstheme="majorEastAsia"/>
          <w:sz w:val="24"/>
          <w:lang w:val="en-US" w:eastAsia="zh-CN"/>
        </w:rPr>
        <w:t>8</w:t>
      </w:r>
      <w:r>
        <w:rPr>
          <w:rFonts w:hint="eastAsia" w:asciiTheme="majorEastAsia" w:hAnsiTheme="majorEastAsia" w:eastAsiaTheme="majorEastAsia" w:cstheme="majorEastAsia"/>
          <w:sz w:val="24"/>
        </w:rPr>
        <w:t>年以来在经营活动中没有重大违法记录，或被行政监管部门处理期限已满。</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5、我公司没有违反法律、法规行为，依法被取消投标资格且期限未满。</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6、我公司没有因招投标活动中有违法违规和不良行为，被有关招投标行政监督部门公示且公示期限未满。</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如我单位有幸中标，将严格按照国家法律法规，认真履行工作的职责和义务，在工作中积极配合建设单位，决不因我公司原因拖延服务时间。</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特此承诺。</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560" w:firstLineChars="2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投 标 人（盖章）：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600" w:lineRule="exact"/>
        <w:ind w:firstLine="560" w:firstLineChars="2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法定代表人或委托代理人（签字或盖章）：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600" w:lineRule="exact"/>
        <w:ind w:firstLine="4760" w:firstLineChars="17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 xml:space="preserve">   </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年</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月</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日</w:t>
      </w:r>
    </w:p>
    <w:p>
      <w:pPr>
        <w:pStyle w:val="23"/>
        <w:snapToGrid w:val="0"/>
        <w:spacing w:line="360" w:lineRule="auto"/>
        <w:ind w:firstLine="352" w:firstLineChars="147"/>
        <w:jc w:val="left"/>
        <w:rPr>
          <w:rFonts w:hint="eastAsia" w:asciiTheme="majorEastAsia" w:hAnsiTheme="majorEastAsia" w:eastAsiaTheme="majorEastAsia" w:cstheme="majorEastAsia"/>
          <w:sz w:val="24"/>
        </w:rPr>
      </w:pPr>
    </w:p>
    <w:p>
      <w:pPr>
        <w:pStyle w:val="23"/>
        <w:snapToGrid w:val="0"/>
        <w:spacing w:line="360" w:lineRule="auto"/>
        <w:ind w:firstLine="352" w:firstLineChars="147"/>
        <w:rPr>
          <w:rFonts w:hint="eastAsia" w:asciiTheme="majorEastAsia" w:hAnsiTheme="majorEastAsia" w:eastAsiaTheme="majorEastAsia" w:cstheme="majorEastAsia"/>
          <w:sz w:val="24"/>
        </w:rPr>
      </w:pPr>
    </w:p>
    <w:p>
      <w:pPr>
        <w:pStyle w:val="23"/>
        <w:snapToGrid w:val="0"/>
        <w:spacing w:line="360" w:lineRule="auto"/>
        <w:ind w:firstLine="352" w:firstLineChars="147"/>
        <w:rPr>
          <w:rFonts w:hint="eastAsia" w:asciiTheme="majorEastAsia" w:hAnsiTheme="majorEastAsia" w:eastAsiaTheme="majorEastAsia" w:cstheme="majorEastAsia"/>
          <w:sz w:val="24"/>
        </w:rPr>
      </w:pPr>
    </w:p>
    <w:p>
      <w:pPr>
        <w:pStyle w:val="23"/>
        <w:snapToGrid w:val="0"/>
        <w:spacing w:line="360" w:lineRule="auto"/>
        <w:ind w:firstLine="352" w:firstLineChars="147"/>
        <w:rPr>
          <w:rFonts w:hint="eastAsia" w:asciiTheme="majorEastAsia" w:hAnsiTheme="majorEastAsia" w:eastAsiaTheme="majorEastAsia" w:cstheme="majorEastAsia"/>
          <w:sz w:val="24"/>
        </w:rPr>
      </w:pPr>
    </w:p>
    <w:p>
      <w:pPr>
        <w:pStyle w:val="23"/>
        <w:snapToGrid w:val="0"/>
        <w:spacing w:line="360" w:lineRule="auto"/>
        <w:rPr>
          <w:rFonts w:hint="eastAsia" w:asciiTheme="majorEastAsia" w:hAnsiTheme="majorEastAsia" w:eastAsiaTheme="majorEastAsia" w:cstheme="majorEastAsia"/>
          <w:sz w:val="24"/>
        </w:rPr>
      </w:pPr>
    </w:p>
    <w:p>
      <w:pPr>
        <w:pStyle w:val="4"/>
        <w:ind w:firstLine="312"/>
        <w:rPr>
          <w:rFonts w:hint="eastAsia" w:asciiTheme="majorEastAsia" w:hAnsiTheme="majorEastAsia" w:eastAsiaTheme="majorEastAsia" w:cstheme="majorEastAsia"/>
          <w:kern w:val="1"/>
        </w:rPr>
      </w:pPr>
      <w:bookmarkStart w:id="280" w:name="_Toc502848427"/>
      <w:bookmarkStart w:id="281" w:name="_Toc31423"/>
      <w:bookmarkStart w:id="282" w:name="_Toc18603127"/>
      <w:bookmarkStart w:id="283" w:name="_Toc25089_WPSOffice_Level2"/>
      <w:bookmarkStart w:id="284" w:name="_Toc15729"/>
      <w:r>
        <w:rPr>
          <w:rFonts w:hint="eastAsia" w:asciiTheme="majorEastAsia" w:hAnsiTheme="majorEastAsia" w:eastAsiaTheme="majorEastAsia" w:cstheme="majorEastAsia"/>
          <w:kern w:val="1"/>
        </w:rPr>
        <w:t>（九）反商业贿赂承诺书</w:t>
      </w:r>
      <w:bookmarkEnd w:id="280"/>
      <w:bookmarkEnd w:id="281"/>
      <w:bookmarkEnd w:id="282"/>
      <w:bookmarkEnd w:id="283"/>
      <w:bookmarkEnd w:id="284"/>
    </w:p>
    <w:p>
      <w:pPr>
        <w:pStyle w:val="23"/>
        <w:snapToGrid w:val="0"/>
        <w:spacing w:line="600" w:lineRule="exact"/>
        <w:ind w:firstLine="0"/>
        <w:jc w:val="left"/>
        <w:rPr>
          <w:rFonts w:hint="eastAsia" w:asciiTheme="majorEastAsia" w:hAnsiTheme="majorEastAsia" w:eastAsiaTheme="majorEastAsia" w:cstheme="majorEastAsia"/>
          <w:sz w:val="24"/>
          <w:u w:val="single"/>
        </w:rPr>
      </w:pPr>
      <w:r>
        <w:rPr>
          <w:rFonts w:hint="eastAsia" w:asciiTheme="majorEastAsia" w:hAnsiTheme="majorEastAsia" w:eastAsiaTheme="majorEastAsia" w:cstheme="majorEastAsia"/>
          <w:sz w:val="24"/>
        </w:rPr>
        <w:t>致：</w:t>
      </w:r>
      <w:r>
        <w:rPr>
          <w:rFonts w:hint="eastAsia" w:asciiTheme="majorEastAsia" w:hAnsiTheme="majorEastAsia" w:eastAsiaTheme="majorEastAsia" w:cstheme="majorEastAsia"/>
          <w:sz w:val="24"/>
          <w:u w:val="single"/>
        </w:rPr>
        <w:t>（招标人）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u w:val="single"/>
        </w:rPr>
        <w:t xml:space="preserve">     </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我公司承诺，在</w:t>
      </w:r>
      <w:r>
        <w:rPr>
          <w:rFonts w:hint="eastAsia" w:asciiTheme="majorEastAsia" w:hAnsiTheme="majorEastAsia" w:eastAsiaTheme="majorEastAsia" w:cstheme="majorEastAsia"/>
          <w:sz w:val="24"/>
          <w:u w:val="single"/>
        </w:rPr>
        <w:t xml:space="preserve">（项目名称） </w:t>
      </w:r>
      <w:r>
        <w:rPr>
          <w:rFonts w:hint="eastAsia" w:asciiTheme="majorEastAsia" w:hAnsiTheme="majorEastAsia" w:eastAsiaTheme="majorEastAsia" w:cstheme="majorEastAsia"/>
          <w:sz w:val="24"/>
        </w:rPr>
        <w:t>投标活动中，我公司保证做到：</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1、公平竞争参加本次投标活动。</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杜绝任何形式的商业贿赂行为。不向招标人、代理机构工作人员、评审专家及其亲属提供礼品礼金、有价证券、购物券、回扣、佣金、咨询费、劳务费、赞助费、宣传费、宴请；不为其报销各种消费凭证，不支付其旅游、娱乐等费用。</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3、若出现上述行为，我公司及参与投标的工作人员愿意接受按照国家法律法规等有关规定给予的处罚。</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特此承诺。</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560" w:firstLineChars="2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投 标 人（盖章）：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600" w:lineRule="exact"/>
        <w:ind w:firstLine="560" w:firstLineChars="2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法定代表人或委托代理人（签字或盖章）：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600" w:lineRule="exact"/>
        <w:ind w:firstLine="4900" w:firstLineChars="175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 xml:space="preserve">  </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年</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月</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日</w:t>
      </w:r>
    </w:p>
    <w:p>
      <w:pPr>
        <w:pStyle w:val="2"/>
        <w:spacing w:line="440" w:lineRule="exact"/>
        <w:ind w:firstLine="560"/>
        <w:rPr>
          <w:rFonts w:hint="eastAsia"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 xml:space="preserve"> </w:t>
      </w: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bookmarkStart w:id="285" w:name="_Toc21214"/>
      <w:bookmarkStart w:id="286" w:name="_Toc15111"/>
      <w:bookmarkStart w:id="287" w:name="_Toc18603128"/>
      <w:bookmarkStart w:id="288" w:name="_Toc7647_WPSOffice_Level2"/>
      <w:r>
        <w:rPr>
          <w:rFonts w:hint="eastAsia" w:asciiTheme="majorEastAsia" w:hAnsiTheme="majorEastAsia" w:eastAsiaTheme="majorEastAsia" w:cstheme="majorEastAsia"/>
        </w:rPr>
        <w:t>（十）投标人认为需要提供的其他资料</w:t>
      </w:r>
      <w:bookmarkEnd w:id="285"/>
      <w:bookmarkEnd w:id="286"/>
      <w:bookmarkEnd w:id="287"/>
      <w:bookmarkEnd w:id="288"/>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bookmarkEnd w:id="274"/>
    <w:bookmarkEnd w:id="275"/>
    <w:bookmarkEnd w:id="276"/>
    <w:bookmarkEnd w:id="277"/>
    <w:bookmarkEnd w:id="278"/>
    <w:bookmarkEnd w:id="279"/>
    <w:p>
      <w:pPr>
        <w:pStyle w:val="73"/>
        <w:rPr>
          <w:rFonts w:hint="eastAsia" w:asciiTheme="majorEastAsia" w:hAnsiTheme="majorEastAsia" w:eastAsiaTheme="majorEastAsia" w:cstheme="majorEastAsia"/>
        </w:rPr>
      </w:pPr>
      <w:bookmarkStart w:id="289" w:name="_Toc477717228"/>
      <w:bookmarkStart w:id="290" w:name="_Toc18603129"/>
      <w:bookmarkStart w:id="291" w:name="_Toc24959"/>
      <w:r>
        <w:rPr>
          <w:rFonts w:hint="eastAsia" w:asciiTheme="majorEastAsia" w:hAnsiTheme="majorEastAsia" w:eastAsiaTheme="majorEastAsia" w:cstheme="majorEastAsia"/>
        </w:rPr>
        <w:t>二、</w:t>
      </w:r>
      <w:bookmarkEnd w:id="289"/>
      <w:r>
        <w:rPr>
          <w:rFonts w:hint="eastAsia" w:asciiTheme="majorEastAsia" w:hAnsiTheme="majorEastAsia" w:eastAsiaTheme="majorEastAsia" w:cstheme="majorEastAsia"/>
        </w:rPr>
        <w:t>技术文件</w:t>
      </w:r>
      <w:bookmarkEnd w:id="290"/>
      <w:bookmarkEnd w:id="291"/>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由各投标人根据参考格式要求参照以下内容自行编写。目录清晰、内容详尽、易于理解和评审并富有建设性的技术方案将在评标时具有优势。</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1、技术文件目录（目录须涵盖下述所有资料页码清晰，以便查阅）；</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2、项目介绍、供货方案，投标人按招标文件要求作出详细描述，内容应包括但不限于：</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（1）响应计划及技术措施；</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（2）售后服务承诺；</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（3）投标人认为需加以说明的其他内容。</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3、招标文件要求提供或投标人认为需提供的其它资料。</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说明：投标文件技术文件的编制原则，一是按招标文件要求，提供相应说明、资料、表格以证明所投货物是否响应招标文件要求；二是对应项目评分标准，充分体现所投货物对于评分标准的响应程度和优势。</w:t>
      </w:r>
    </w:p>
    <w:p>
      <w:pPr>
        <w:pStyle w:val="129"/>
        <w:spacing w:line="500" w:lineRule="exact"/>
        <w:ind w:firstLine="730"/>
        <w:rPr>
          <w:rFonts w:hint="eastAsia" w:asciiTheme="majorEastAsia" w:hAnsiTheme="majorEastAsia" w:eastAsiaTheme="majorEastAsia" w:cstheme="majorEastAsia"/>
          <w:sz w:val="24"/>
          <w:szCs w:val="24"/>
        </w:rPr>
      </w:pPr>
    </w:p>
    <w:p>
      <w:pPr>
        <w:spacing w:line="400" w:lineRule="exact"/>
        <w:rPr>
          <w:rFonts w:hint="eastAsia" w:asciiTheme="majorEastAsia" w:hAnsiTheme="majorEastAsia" w:eastAsiaTheme="majorEastAsia" w:cstheme="majorEastAsia"/>
          <w:b/>
          <w:sz w:val="28"/>
          <w:szCs w:val="28"/>
        </w:rPr>
      </w:pPr>
    </w:p>
    <w:p>
      <w:pPr>
        <w:spacing w:line="400" w:lineRule="exact"/>
        <w:rPr>
          <w:rFonts w:hint="eastAsia" w:asciiTheme="majorEastAsia" w:hAnsiTheme="majorEastAsia" w:eastAsiaTheme="majorEastAsia" w:cstheme="majorEastAsia"/>
          <w:b/>
          <w:sz w:val="28"/>
          <w:szCs w:val="28"/>
        </w:rPr>
      </w:pPr>
    </w:p>
    <w:p>
      <w:pPr>
        <w:spacing w:line="400" w:lineRule="exact"/>
        <w:rPr>
          <w:rFonts w:hint="eastAsia" w:asciiTheme="majorEastAsia" w:hAnsiTheme="majorEastAsia" w:eastAsiaTheme="majorEastAsia" w:cstheme="majorEastAsia"/>
          <w:b/>
          <w:sz w:val="28"/>
          <w:szCs w:val="28"/>
        </w:rPr>
      </w:pPr>
    </w:p>
    <w:p>
      <w:pPr>
        <w:spacing w:line="400" w:lineRule="exact"/>
        <w:rPr>
          <w:rFonts w:hint="eastAsia" w:asciiTheme="majorEastAsia" w:hAnsiTheme="majorEastAsia" w:eastAsiaTheme="majorEastAsia" w:cstheme="majorEastAsia"/>
          <w:b/>
          <w:sz w:val="28"/>
          <w:szCs w:val="28"/>
        </w:rPr>
      </w:pPr>
    </w:p>
    <w:p>
      <w:pPr>
        <w:spacing w:line="400" w:lineRule="exact"/>
        <w:rPr>
          <w:rFonts w:hint="eastAsia" w:asciiTheme="majorEastAsia" w:hAnsiTheme="majorEastAsia" w:eastAsiaTheme="majorEastAsia" w:cstheme="majorEastAsia"/>
          <w:b/>
          <w:sz w:val="28"/>
          <w:szCs w:val="28"/>
        </w:rPr>
      </w:pPr>
    </w:p>
    <w:p>
      <w:pPr>
        <w:pStyle w:val="147"/>
        <w:jc w:val="both"/>
        <w:rPr>
          <w:rFonts w:hint="eastAsia" w:asciiTheme="majorEastAsia" w:hAnsiTheme="majorEastAsia" w:eastAsiaTheme="majorEastAsia" w:cstheme="majorEastAsia"/>
          <w:sz w:val="24"/>
          <w:szCs w:val="24"/>
        </w:rPr>
      </w:pPr>
    </w:p>
    <w:p>
      <w:pPr>
        <w:rPr>
          <w:rFonts w:hint="eastAsia" w:asciiTheme="majorEastAsia" w:hAnsiTheme="majorEastAsia" w:eastAsiaTheme="majorEastAsia" w:cstheme="majorEastAsia"/>
        </w:rPr>
      </w:pPr>
    </w:p>
    <w:sectPr>
      <w:headerReference r:id="rId4" w:type="default"/>
      <w:footerReference r:id="rId5" w:type="default"/>
      <w:footerReference r:id="rId6" w:type="even"/>
      <w:pgSz w:w="11907" w:h="16840"/>
      <w:pgMar w:top="1588" w:right="1474" w:bottom="1701" w:left="153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fldChar w:fldCharType="begin"/>
    </w:r>
    <w:r>
      <w:instrText xml:space="preserve">PAGE   \* MERGEFORMAT</w:instrText>
    </w:r>
    <w:r>
      <w:fldChar w:fldCharType="separate"/>
    </w:r>
    <w:r>
      <w:rPr>
        <w:lang w:val="zh-CN"/>
      </w:rPr>
      <w:t>56</w:t>
    </w:r>
    <w:r>
      <w:fldChar w:fldCharType="end"/>
    </w:r>
  </w:p>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Style w:val="46"/>
      </w:rPr>
    </w:pPr>
    <w:r>
      <w:fldChar w:fldCharType="begin"/>
    </w:r>
    <w:r>
      <w:rPr>
        <w:rStyle w:val="46"/>
        <w:highlight w:val="white"/>
      </w:rPr>
      <w:instrText xml:space="preserve">PAGE  </w:instrText>
    </w:r>
    <w:r>
      <w:fldChar w:fldCharType="end"/>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063F42"/>
    <w:multiLevelType w:val="singleLevel"/>
    <w:tmpl w:val="B1063F42"/>
    <w:lvl w:ilvl="0" w:tentative="0">
      <w:start w:val="1"/>
      <w:numFmt w:val="decimal"/>
      <w:suff w:val="nothing"/>
      <w:lvlText w:val="%1、"/>
      <w:lvlJc w:val="left"/>
    </w:lvl>
  </w:abstractNum>
  <w:abstractNum w:abstractNumId="1">
    <w:nsid w:val="BE9C9CED"/>
    <w:multiLevelType w:val="singleLevel"/>
    <w:tmpl w:val="BE9C9CE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42B"/>
    <w:rsid w:val="00023418"/>
    <w:rsid w:val="001704F8"/>
    <w:rsid w:val="00170C37"/>
    <w:rsid w:val="001C2B45"/>
    <w:rsid w:val="0025031C"/>
    <w:rsid w:val="00293B54"/>
    <w:rsid w:val="002E0BE7"/>
    <w:rsid w:val="00413958"/>
    <w:rsid w:val="00455A27"/>
    <w:rsid w:val="00514144"/>
    <w:rsid w:val="005311C5"/>
    <w:rsid w:val="005506E0"/>
    <w:rsid w:val="005F06FC"/>
    <w:rsid w:val="006A63A9"/>
    <w:rsid w:val="006B4422"/>
    <w:rsid w:val="008B46BC"/>
    <w:rsid w:val="00906D62"/>
    <w:rsid w:val="0097007D"/>
    <w:rsid w:val="00A110B9"/>
    <w:rsid w:val="00A15E42"/>
    <w:rsid w:val="00A80F8E"/>
    <w:rsid w:val="00BC615E"/>
    <w:rsid w:val="00C2042B"/>
    <w:rsid w:val="00D70767"/>
    <w:rsid w:val="00DA6F9E"/>
    <w:rsid w:val="00E3557A"/>
    <w:rsid w:val="00F26835"/>
    <w:rsid w:val="00F651D4"/>
    <w:rsid w:val="00FC154B"/>
    <w:rsid w:val="01A35C5B"/>
    <w:rsid w:val="026E48FB"/>
    <w:rsid w:val="030D63C1"/>
    <w:rsid w:val="03BA18EC"/>
    <w:rsid w:val="04C069EA"/>
    <w:rsid w:val="05471F32"/>
    <w:rsid w:val="05A037C5"/>
    <w:rsid w:val="05D96516"/>
    <w:rsid w:val="05FD786A"/>
    <w:rsid w:val="068210C8"/>
    <w:rsid w:val="068B115F"/>
    <w:rsid w:val="06CB0398"/>
    <w:rsid w:val="06CE5EE0"/>
    <w:rsid w:val="07607F80"/>
    <w:rsid w:val="0861497F"/>
    <w:rsid w:val="08CA102A"/>
    <w:rsid w:val="0A400E88"/>
    <w:rsid w:val="0BD877A0"/>
    <w:rsid w:val="0C7B0A77"/>
    <w:rsid w:val="0CF832B8"/>
    <w:rsid w:val="0D0D0A10"/>
    <w:rsid w:val="0D427B44"/>
    <w:rsid w:val="0D833F55"/>
    <w:rsid w:val="0DC106AF"/>
    <w:rsid w:val="0DDE29E4"/>
    <w:rsid w:val="0E9460FE"/>
    <w:rsid w:val="0EC60D89"/>
    <w:rsid w:val="0EFB574B"/>
    <w:rsid w:val="0F9232F0"/>
    <w:rsid w:val="0FEE7954"/>
    <w:rsid w:val="0FEF0833"/>
    <w:rsid w:val="104B7369"/>
    <w:rsid w:val="12217E4B"/>
    <w:rsid w:val="1249679A"/>
    <w:rsid w:val="12936D0E"/>
    <w:rsid w:val="14046E8D"/>
    <w:rsid w:val="151917C3"/>
    <w:rsid w:val="15BA4284"/>
    <w:rsid w:val="1636178D"/>
    <w:rsid w:val="16546C73"/>
    <w:rsid w:val="171F7D6E"/>
    <w:rsid w:val="17C374F2"/>
    <w:rsid w:val="180975D2"/>
    <w:rsid w:val="18ED47E4"/>
    <w:rsid w:val="199E7FFC"/>
    <w:rsid w:val="1A195AFD"/>
    <w:rsid w:val="1A576F22"/>
    <w:rsid w:val="1A714F5D"/>
    <w:rsid w:val="1BCF1A8F"/>
    <w:rsid w:val="1BD75C71"/>
    <w:rsid w:val="1D0D3060"/>
    <w:rsid w:val="1DFC1E9F"/>
    <w:rsid w:val="1E07533F"/>
    <w:rsid w:val="1E377370"/>
    <w:rsid w:val="1F6F2F6E"/>
    <w:rsid w:val="1FDA52A4"/>
    <w:rsid w:val="20582205"/>
    <w:rsid w:val="21331510"/>
    <w:rsid w:val="2390712F"/>
    <w:rsid w:val="23BF4D25"/>
    <w:rsid w:val="23F36042"/>
    <w:rsid w:val="24944C34"/>
    <w:rsid w:val="24FE3056"/>
    <w:rsid w:val="25801F50"/>
    <w:rsid w:val="26A95B80"/>
    <w:rsid w:val="26C231D2"/>
    <w:rsid w:val="273C7E7B"/>
    <w:rsid w:val="2754770D"/>
    <w:rsid w:val="287D12C0"/>
    <w:rsid w:val="2A4F4FAF"/>
    <w:rsid w:val="2B217E9C"/>
    <w:rsid w:val="2BA47C40"/>
    <w:rsid w:val="2C0F4D81"/>
    <w:rsid w:val="2C342A3F"/>
    <w:rsid w:val="2CA43615"/>
    <w:rsid w:val="2D9408F8"/>
    <w:rsid w:val="2DF63701"/>
    <w:rsid w:val="2E47383A"/>
    <w:rsid w:val="2E82514D"/>
    <w:rsid w:val="2ED82BF1"/>
    <w:rsid w:val="2EF35539"/>
    <w:rsid w:val="2F5D24D7"/>
    <w:rsid w:val="2F790134"/>
    <w:rsid w:val="2FC60CD4"/>
    <w:rsid w:val="301E5724"/>
    <w:rsid w:val="3087267E"/>
    <w:rsid w:val="30B02142"/>
    <w:rsid w:val="30B3322E"/>
    <w:rsid w:val="30B42B5D"/>
    <w:rsid w:val="30B84BCB"/>
    <w:rsid w:val="30F34EA3"/>
    <w:rsid w:val="31035F48"/>
    <w:rsid w:val="315114A1"/>
    <w:rsid w:val="31890266"/>
    <w:rsid w:val="31E452C7"/>
    <w:rsid w:val="3323663B"/>
    <w:rsid w:val="33641CC2"/>
    <w:rsid w:val="33F60B1F"/>
    <w:rsid w:val="343F0353"/>
    <w:rsid w:val="34B41D8C"/>
    <w:rsid w:val="34C65C2C"/>
    <w:rsid w:val="34CD57F2"/>
    <w:rsid w:val="34F02120"/>
    <w:rsid w:val="36944155"/>
    <w:rsid w:val="36B67805"/>
    <w:rsid w:val="378573B1"/>
    <w:rsid w:val="37A82C19"/>
    <w:rsid w:val="388155CE"/>
    <w:rsid w:val="38D67909"/>
    <w:rsid w:val="38FA09D9"/>
    <w:rsid w:val="39C572ED"/>
    <w:rsid w:val="3B7D0BF9"/>
    <w:rsid w:val="3C065126"/>
    <w:rsid w:val="3D015DDC"/>
    <w:rsid w:val="3D0715A4"/>
    <w:rsid w:val="3DCB721B"/>
    <w:rsid w:val="3EBA506C"/>
    <w:rsid w:val="3EF84A3D"/>
    <w:rsid w:val="3F1E06A5"/>
    <w:rsid w:val="3FEF1472"/>
    <w:rsid w:val="40391AAC"/>
    <w:rsid w:val="403D39E2"/>
    <w:rsid w:val="40DD2245"/>
    <w:rsid w:val="410D34B2"/>
    <w:rsid w:val="41770539"/>
    <w:rsid w:val="41FB63D1"/>
    <w:rsid w:val="42923F96"/>
    <w:rsid w:val="42BB7443"/>
    <w:rsid w:val="432B07CE"/>
    <w:rsid w:val="435B1672"/>
    <w:rsid w:val="44CD0195"/>
    <w:rsid w:val="45207055"/>
    <w:rsid w:val="453266C0"/>
    <w:rsid w:val="4539484B"/>
    <w:rsid w:val="45B25746"/>
    <w:rsid w:val="46066829"/>
    <w:rsid w:val="46255DF4"/>
    <w:rsid w:val="46604B98"/>
    <w:rsid w:val="46CD4ADA"/>
    <w:rsid w:val="46ED7160"/>
    <w:rsid w:val="473D6135"/>
    <w:rsid w:val="478F3CB0"/>
    <w:rsid w:val="480749A4"/>
    <w:rsid w:val="48265231"/>
    <w:rsid w:val="48581347"/>
    <w:rsid w:val="48B62024"/>
    <w:rsid w:val="48D478A8"/>
    <w:rsid w:val="48DE5086"/>
    <w:rsid w:val="491068E4"/>
    <w:rsid w:val="49C25B41"/>
    <w:rsid w:val="4A7A1004"/>
    <w:rsid w:val="4AAE6BFB"/>
    <w:rsid w:val="4B5E7426"/>
    <w:rsid w:val="4B7342CF"/>
    <w:rsid w:val="4B97689A"/>
    <w:rsid w:val="4B99496A"/>
    <w:rsid w:val="4BA434FB"/>
    <w:rsid w:val="4CCB719D"/>
    <w:rsid w:val="4D041CBF"/>
    <w:rsid w:val="4D5D685D"/>
    <w:rsid w:val="4D8D75A6"/>
    <w:rsid w:val="4D9271C6"/>
    <w:rsid w:val="4DB3325D"/>
    <w:rsid w:val="4DB945B9"/>
    <w:rsid w:val="4DD225A6"/>
    <w:rsid w:val="4E232FFC"/>
    <w:rsid w:val="4E557A96"/>
    <w:rsid w:val="4ED63E46"/>
    <w:rsid w:val="4F657EC5"/>
    <w:rsid w:val="4F787CC6"/>
    <w:rsid w:val="4FAD7970"/>
    <w:rsid w:val="50122CFD"/>
    <w:rsid w:val="50727E7A"/>
    <w:rsid w:val="50DB216A"/>
    <w:rsid w:val="51124F64"/>
    <w:rsid w:val="51B15B06"/>
    <w:rsid w:val="51DC428F"/>
    <w:rsid w:val="52B50D3A"/>
    <w:rsid w:val="52BE2AA6"/>
    <w:rsid w:val="532E0C8F"/>
    <w:rsid w:val="53BE2706"/>
    <w:rsid w:val="53C420E4"/>
    <w:rsid w:val="53F61F49"/>
    <w:rsid w:val="54227A3F"/>
    <w:rsid w:val="547208E7"/>
    <w:rsid w:val="554D040E"/>
    <w:rsid w:val="55DE7F58"/>
    <w:rsid w:val="57925E3D"/>
    <w:rsid w:val="57D03788"/>
    <w:rsid w:val="57E45FBD"/>
    <w:rsid w:val="57E519C6"/>
    <w:rsid w:val="580E2E2E"/>
    <w:rsid w:val="58732D62"/>
    <w:rsid w:val="58D53012"/>
    <w:rsid w:val="5A6D31B4"/>
    <w:rsid w:val="5B55590C"/>
    <w:rsid w:val="5C6221A5"/>
    <w:rsid w:val="5D054BFA"/>
    <w:rsid w:val="5D0E2A32"/>
    <w:rsid w:val="5E065AEB"/>
    <w:rsid w:val="5E20512E"/>
    <w:rsid w:val="5E494DB1"/>
    <w:rsid w:val="5E837F26"/>
    <w:rsid w:val="5EA11BC8"/>
    <w:rsid w:val="5FAE4A07"/>
    <w:rsid w:val="609513F6"/>
    <w:rsid w:val="609B1B07"/>
    <w:rsid w:val="60A6507E"/>
    <w:rsid w:val="61AC001B"/>
    <w:rsid w:val="61C148C1"/>
    <w:rsid w:val="624971DC"/>
    <w:rsid w:val="628F5493"/>
    <w:rsid w:val="62D371BB"/>
    <w:rsid w:val="62D50D89"/>
    <w:rsid w:val="630439E6"/>
    <w:rsid w:val="636D1584"/>
    <w:rsid w:val="63FD63DB"/>
    <w:rsid w:val="64220C60"/>
    <w:rsid w:val="642C3F95"/>
    <w:rsid w:val="64430079"/>
    <w:rsid w:val="64F40C15"/>
    <w:rsid w:val="653807EB"/>
    <w:rsid w:val="65FF0A52"/>
    <w:rsid w:val="66082521"/>
    <w:rsid w:val="668F2D8E"/>
    <w:rsid w:val="6710698D"/>
    <w:rsid w:val="677B37D3"/>
    <w:rsid w:val="677E55BF"/>
    <w:rsid w:val="67B30895"/>
    <w:rsid w:val="67CA59D5"/>
    <w:rsid w:val="67E601F1"/>
    <w:rsid w:val="680A6963"/>
    <w:rsid w:val="683A5FAF"/>
    <w:rsid w:val="69294376"/>
    <w:rsid w:val="69D35390"/>
    <w:rsid w:val="69F57537"/>
    <w:rsid w:val="6A84014F"/>
    <w:rsid w:val="6A8B6509"/>
    <w:rsid w:val="6A9A1993"/>
    <w:rsid w:val="6AC338BF"/>
    <w:rsid w:val="6B391AED"/>
    <w:rsid w:val="6B56316E"/>
    <w:rsid w:val="6B813FB2"/>
    <w:rsid w:val="6BCC18F6"/>
    <w:rsid w:val="6CD915CE"/>
    <w:rsid w:val="6D0B4A4A"/>
    <w:rsid w:val="6D761F1B"/>
    <w:rsid w:val="6D951463"/>
    <w:rsid w:val="6DD0656B"/>
    <w:rsid w:val="6E067D47"/>
    <w:rsid w:val="6EBA45D7"/>
    <w:rsid w:val="6F36031A"/>
    <w:rsid w:val="705B5810"/>
    <w:rsid w:val="70855376"/>
    <w:rsid w:val="7092287D"/>
    <w:rsid w:val="717B3F3C"/>
    <w:rsid w:val="723C34BB"/>
    <w:rsid w:val="726B0785"/>
    <w:rsid w:val="727373B4"/>
    <w:rsid w:val="73552D67"/>
    <w:rsid w:val="73592FA8"/>
    <w:rsid w:val="73CD386D"/>
    <w:rsid w:val="742B63BF"/>
    <w:rsid w:val="743934FF"/>
    <w:rsid w:val="743F3024"/>
    <w:rsid w:val="74545468"/>
    <w:rsid w:val="74612F3F"/>
    <w:rsid w:val="749404D7"/>
    <w:rsid w:val="750E22D5"/>
    <w:rsid w:val="752C595A"/>
    <w:rsid w:val="756F14DA"/>
    <w:rsid w:val="75906BC7"/>
    <w:rsid w:val="75DE1D13"/>
    <w:rsid w:val="76536416"/>
    <w:rsid w:val="76981FED"/>
    <w:rsid w:val="76DD19BF"/>
    <w:rsid w:val="77630DDB"/>
    <w:rsid w:val="779C1A11"/>
    <w:rsid w:val="77D159A5"/>
    <w:rsid w:val="785C5FB3"/>
    <w:rsid w:val="786D6962"/>
    <w:rsid w:val="78E6157A"/>
    <w:rsid w:val="79814DB2"/>
    <w:rsid w:val="79C05318"/>
    <w:rsid w:val="7A483A5A"/>
    <w:rsid w:val="7BAB56D1"/>
    <w:rsid w:val="7BAF3935"/>
    <w:rsid w:val="7BEE6B82"/>
    <w:rsid w:val="7C1D3B30"/>
    <w:rsid w:val="7C8D3171"/>
    <w:rsid w:val="7E536735"/>
    <w:rsid w:val="7E6C3B5A"/>
    <w:rsid w:val="7E8339AF"/>
    <w:rsid w:val="7F53692E"/>
    <w:rsid w:val="7F5B4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60"/>
    <w:qFormat/>
    <w:uiPriority w:val="0"/>
    <w:pPr>
      <w:keepNext/>
      <w:keepLines/>
      <w:overflowPunct w:val="0"/>
      <w:adjustRightInd w:val="0"/>
      <w:snapToGrid w:val="0"/>
      <w:spacing w:before="100" w:after="120"/>
      <w:jc w:val="center"/>
      <w:outlineLvl w:val="0"/>
    </w:pPr>
    <w:rPr>
      <w:rFonts w:ascii="宋体" w:hAnsi="宋体"/>
      <w:b/>
      <w:kern w:val="0"/>
      <w:sz w:val="36"/>
      <w:szCs w:val="44"/>
    </w:rPr>
  </w:style>
  <w:style w:type="paragraph" w:styleId="4">
    <w:name w:val="heading 2"/>
    <w:basedOn w:val="1"/>
    <w:next w:val="1"/>
    <w:link w:val="61"/>
    <w:qFormat/>
    <w:uiPriority w:val="0"/>
    <w:pPr>
      <w:spacing w:line="600" w:lineRule="exact"/>
      <w:contextualSpacing/>
      <w:jc w:val="center"/>
      <w:outlineLvl w:val="1"/>
    </w:pPr>
    <w:rPr>
      <w:rFonts w:ascii="宋体" w:hAnsi="宋体"/>
      <w:b/>
      <w:bCs/>
      <w:sz w:val="28"/>
      <w:szCs w:val="28"/>
    </w:rPr>
  </w:style>
  <w:style w:type="paragraph" w:styleId="5">
    <w:name w:val="heading 3"/>
    <w:basedOn w:val="1"/>
    <w:next w:val="1"/>
    <w:link w:val="62"/>
    <w:qFormat/>
    <w:uiPriority w:val="0"/>
    <w:pPr>
      <w:keepNext/>
      <w:keepLines/>
      <w:spacing w:after="120" w:line="500" w:lineRule="exact"/>
      <w:jc w:val="left"/>
      <w:outlineLvl w:val="2"/>
    </w:pPr>
    <w:rPr>
      <w:rFonts w:ascii="宋体" w:hAnsi="宋体"/>
      <w:b/>
      <w:bCs/>
      <w:sz w:val="24"/>
      <w:szCs w:val="24"/>
    </w:rPr>
  </w:style>
  <w:style w:type="paragraph" w:styleId="6">
    <w:name w:val="heading 4"/>
    <w:basedOn w:val="1"/>
    <w:next w:val="1"/>
    <w:link w:val="63"/>
    <w:qFormat/>
    <w:uiPriority w:val="0"/>
    <w:pPr>
      <w:spacing w:before="240"/>
      <w:ind w:firstLine="425" w:firstLineChars="177"/>
      <w:jc w:val="left"/>
      <w:outlineLvl w:val="3"/>
    </w:pPr>
    <w:rPr>
      <w:rFonts w:ascii="宋体" w:hAnsi="宋体"/>
      <w:sz w:val="24"/>
      <w:szCs w:val="28"/>
    </w:rPr>
  </w:style>
  <w:style w:type="paragraph" w:styleId="7">
    <w:name w:val="heading 5"/>
    <w:basedOn w:val="1"/>
    <w:next w:val="1"/>
    <w:link w:val="64"/>
    <w:qFormat/>
    <w:uiPriority w:val="0"/>
    <w:pPr>
      <w:keepNext/>
      <w:keepLines/>
      <w:widowControl/>
      <w:tabs>
        <w:tab w:val="left" w:pos="1008"/>
      </w:tabs>
      <w:spacing w:before="280" w:line="372" w:lineRule="auto"/>
      <w:ind w:left="1008" w:hanging="1008"/>
      <w:jc w:val="center"/>
      <w:outlineLvl w:val="4"/>
    </w:pPr>
    <w:rPr>
      <w:b/>
      <w:bCs/>
      <w:kern w:val="0"/>
      <w:sz w:val="28"/>
      <w:szCs w:val="28"/>
    </w:rPr>
  </w:style>
  <w:style w:type="paragraph" w:styleId="8">
    <w:name w:val="heading 6"/>
    <w:basedOn w:val="1"/>
    <w:next w:val="1"/>
    <w:link w:val="65"/>
    <w:qFormat/>
    <w:uiPriority w:val="0"/>
    <w:pPr>
      <w:keepNext/>
      <w:keepLines/>
      <w:widowControl/>
      <w:tabs>
        <w:tab w:val="left" w:pos="1440"/>
      </w:tabs>
      <w:spacing w:before="240" w:after="64" w:line="320" w:lineRule="auto"/>
      <w:ind w:left="1152" w:hanging="1152"/>
      <w:jc w:val="center"/>
      <w:outlineLvl w:val="5"/>
    </w:pPr>
    <w:rPr>
      <w:rFonts w:ascii="Arial" w:hAnsi="Arial" w:eastAsia="黑体"/>
      <w:b/>
      <w:bCs/>
      <w:kern w:val="0"/>
      <w:sz w:val="24"/>
      <w:szCs w:val="24"/>
    </w:rPr>
  </w:style>
  <w:style w:type="paragraph" w:styleId="9">
    <w:name w:val="heading 7"/>
    <w:basedOn w:val="1"/>
    <w:next w:val="1"/>
    <w:link w:val="66"/>
    <w:qFormat/>
    <w:uiPriority w:val="0"/>
    <w:pPr>
      <w:keepNext/>
      <w:keepLines/>
      <w:widowControl/>
      <w:tabs>
        <w:tab w:val="left" w:pos="2520"/>
      </w:tabs>
      <w:spacing w:before="240" w:after="64" w:line="320" w:lineRule="auto"/>
      <w:ind w:left="1296" w:hanging="1296"/>
      <w:jc w:val="left"/>
      <w:outlineLvl w:val="6"/>
    </w:pPr>
    <w:rPr>
      <w:rFonts w:ascii="宋体" w:hAnsi="宋体"/>
      <w:b/>
      <w:bCs/>
      <w:kern w:val="0"/>
      <w:sz w:val="24"/>
      <w:szCs w:val="24"/>
    </w:rPr>
  </w:style>
  <w:style w:type="paragraph" w:styleId="10">
    <w:name w:val="heading 8"/>
    <w:basedOn w:val="1"/>
    <w:next w:val="1"/>
    <w:link w:val="6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szCs w:val="24"/>
    </w:rPr>
  </w:style>
  <w:style w:type="paragraph" w:styleId="11">
    <w:name w:val="heading 9"/>
    <w:basedOn w:val="1"/>
    <w:next w:val="1"/>
    <w:link w:val="68"/>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89"/>
    <w:unhideWhenUsed/>
    <w:qFormat/>
    <w:uiPriority w:val="0"/>
    <w:pPr>
      <w:spacing w:after="120"/>
    </w:pPr>
  </w:style>
  <w:style w:type="paragraph" w:styleId="12">
    <w:name w:val="toc 7"/>
    <w:basedOn w:val="1"/>
    <w:next w:val="1"/>
    <w:unhideWhenUsed/>
    <w:qFormat/>
    <w:uiPriority w:val="39"/>
    <w:pPr>
      <w:ind w:left="2520" w:leftChars="1200"/>
    </w:pPr>
  </w:style>
  <w:style w:type="paragraph" w:styleId="13">
    <w:name w:val="Normal Indent"/>
    <w:basedOn w:val="1"/>
    <w:qFormat/>
    <w:uiPriority w:val="0"/>
    <w:pPr>
      <w:ind w:firstLine="420" w:firstLineChars="200"/>
    </w:pPr>
  </w:style>
  <w:style w:type="paragraph" w:styleId="14">
    <w:name w:val="caption"/>
    <w:basedOn w:val="1"/>
    <w:next w:val="1"/>
    <w:qFormat/>
    <w:uiPriority w:val="0"/>
    <w:rPr>
      <w:rFonts w:ascii="Cambria" w:hAnsi="Cambria" w:eastAsia="黑体"/>
      <w:sz w:val="20"/>
      <w:szCs w:val="20"/>
    </w:rPr>
  </w:style>
  <w:style w:type="paragraph" w:styleId="15">
    <w:name w:val="List Bullet"/>
    <w:basedOn w:val="1"/>
    <w:unhideWhenUsed/>
    <w:qFormat/>
    <w:uiPriority w:val="0"/>
    <w:pPr>
      <w:tabs>
        <w:tab w:val="left" w:pos="360"/>
      </w:tabs>
      <w:ind w:left="360" w:hanging="360"/>
    </w:pPr>
    <w:rPr>
      <w:rFonts w:ascii="Times New Roman" w:hAnsi="Times New Roman"/>
    </w:rPr>
  </w:style>
  <w:style w:type="paragraph" w:styleId="16">
    <w:name w:val="Document Map"/>
    <w:basedOn w:val="1"/>
    <w:link w:val="145"/>
    <w:semiHidden/>
    <w:qFormat/>
    <w:uiPriority w:val="0"/>
    <w:pPr>
      <w:shd w:val="clear" w:color="auto" w:fill="000080"/>
    </w:pPr>
    <w:rPr>
      <w:rFonts w:ascii="宋体" w:hAnsi="宋体" w:eastAsiaTheme="minorEastAsia" w:cstheme="minorBidi"/>
      <w:szCs w:val="24"/>
    </w:rPr>
  </w:style>
  <w:style w:type="paragraph" w:styleId="17">
    <w:name w:val="annotation text"/>
    <w:basedOn w:val="1"/>
    <w:link w:val="185"/>
    <w:semiHidden/>
    <w:unhideWhenUsed/>
    <w:qFormat/>
    <w:uiPriority w:val="0"/>
    <w:pPr>
      <w:jc w:val="left"/>
    </w:pPr>
  </w:style>
  <w:style w:type="paragraph" w:styleId="18">
    <w:name w:val="Body Text 3"/>
    <w:basedOn w:val="1"/>
    <w:link w:val="99"/>
    <w:qFormat/>
    <w:uiPriority w:val="0"/>
    <w:rPr>
      <w:rFonts w:ascii="宋体" w:hAnsiTheme="minorHAnsi" w:cstheme="minorBidi"/>
      <w:sz w:val="24"/>
    </w:rPr>
  </w:style>
  <w:style w:type="paragraph" w:styleId="19">
    <w:name w:val="Body Text Indent"/>
    <w:basedOn w:val="1"/>
    <w:link w:val="103"/>
    <w:qFormat/>
    <w:uiPriority w:val="0"/>
    <w:pPr>
      <w:spacing w:after="120"/>
      <w:ind w:left="420" w:leftChars="200"/>
    </w:pPr>
    <w:rPr>
      <w:rFonts w:ascii="宋体" w:hAnsi="宋体" w:eastAsiaTheme="minorEastAsia" w:cstheme="minorBidi"/>
      <w:szCs w:val="24"/>
    </w:rPr>
  </w:style>
  <w:style w:type="paragraph" w:styleId="20">
    <w:name w:val="index 4"/>
    <w:basedOn w:val="1"/>
    <w:next w:val="1"/>
    <w:unhideWhenUsed/>
    <w:qFormat/>
    <w:uiPriority w:val="0"/>
    <w:pPr>
      <w:ind w:left="600" w:leftChars="600"/>
    </w:pPr>
    <w:rPr>
      <w:rFonts w:ascii="Times New Roman" w:hAnsi="Times New Roman"/>
    </w:rPr>
  </w:style>
  <w:style w:type="paragraph" w:styleId="21">
    <w:name w:val="toc 5"/>
    <w:basedOn w:val="1"/>
    <w:next w:val="1"/>
    <w:unhideWhenUsed/>
    <w:qFormat/>
    <w:uiPriority w:val="39"/>
    <w:pPr>
      <w:ind w:left="1680" w:leftChars="800"/>
    </w:pPr>
  </w:style>
  <w:style w:type="paragraph" w:styleId="22">
    <w:name w:val="toc 3"/>
    <w:basedOn w:val="1"/>
    <w:next w:val="1"/>
    <w:qFormat/>
    <w:uiPriority w:val="39"/>
    <w:pPr>
      <w:ind w:left="840" w:leftChars="400"/>
    </w:pPr>
  </w:style>
  <w:style w:type="paragraph" w:styleId="23">
    <w:name w:val="Plain Text"/>
    <w:basedOn w:val="1"/>
    <w:link w:val="135"/>
    <w:qFormat/>
    <w:uiPriority w:val="0"/>
    <w:pPr>
      <w:spacing w:line="305" w:lineRule="auto"/>
      <w:ind w:firstLine="420"/>
    </w:pPr>
    <w:rPr>
      <w:rFonts w:ascii="宋体" w:hAnsi="Courier New" w:cs="Courier New"/>
      <w:szCs w:val="21"/>
    </w:rPr>
  </w:style>
  <w:style w:type="paragraph" w:styleId="24">
    <w:name w:val="toc 8"/>
    <w:basedOn w:val="1"/>
    <w:next w:val="1"/>
    <w:unhideWhenUsed/>
    <w:qFormat/>
    <w:uiPriority w:val="39"/>
    <w:pPr>
      <w:ind w:left="2940" w:leftChars="1400"/>
    </w:pPr>
  </w:style>
  <w:style w:type="paragraph" w:styleId="25">
    <w:name w:val="Date"/>
    <w:basedOn w:val="1"/>
    <w:next w:val="1"/>
    <w:link w:val="89"/>
    <w:qFormat/>
    <w:uiPriority w:val="0"/>
    <w:pPr>
      <w:ind w:left="100" w:leftChars="2500"/>
    </w:pPr>
    <w:rPr>
      <w:rFonts w:ascii="宋体" w:hAnsi="宋体" w:eastAsiaTheme="minorEastAsia" w:cstheme="minorBidi"/>
      <w:szCs w:val="24"/>
    </w:rPr>
  </w:style>
  <w:style w:type="paragraph" w:styleId="26">
    <w:name w:val="Body Text Indent 2"/>
    <w:basedOn w:val="1"/>
    <w:link w:val="69"/>
    <w:qFormat/>
    <w:uiPriority w:val="0"/>
    <w:pPr>
      <w:spacing w:line="305" w:lineRule="auto"/>
      <w:ind w:left="420" w:hanging="420" w:hangingChars="200"/>
    </w:pPr>
    <w:rPr>
      <w:rFonts w:ascii="宋体" w:hAnsi="宋体" w:eastAsiaTheme="minorEastAsia" w:cstheme="minorBidi"/>
    </w:rPr>
  </w:style>
  <w:style w:type="paragraph" w:styleId="27">
    <w:name w:val="Balloon Text"/>
    <w:basedOn w:val="1"/>
    <w:link w:val="97"/>
    <w:semiHidden/>
    <w:qFormat/>
    <w:uiPriority w:val="0"/>
    <w:rPr>
      <w:rFonts w:ascii="宋体" w:hAnsi="宋体" w:eastAsiaTheme="minorEastAsia" w:cstheme="minorBidi"/>
      <w:sz w:val="18"/>
      <w:szCs w:val="18"/>
    </w:rPr>
  </w:style>
  <w:style w:type="paragraph" w:styleId="28">
    <w:name w:val="footer"/>
    <w:basedOn w:val="1"/>
    <w:link w:val="59"/>
    <w:unhideWhenUsed/>
    <w:qFormat/>
    <w:uiPriority w:val="99"/>
    <w:pPr>
      <w:tabs>
        <w:tab w:val="center" w:pos="4153"/>
        <w:tab w:val="right" w:pos="8306"/>
      </w:tabs>
      <w:snapToGrid w:val="0"/>
      <w:jc w:val="left"/>
    </w:pPr>
    <w:rPr>
      <w:sz w:val="18"/>
      <w:szCs w:val="18"/>
    </w:rPr>
  </w:style>
  <w:style w:type="paragraph" w:styleId="29">
    <w:name w:val="header"/>
    <w:basedOn w:val="1"/>
    <w:link w:val="58"/>
    <w:unhideWhenUsed/>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8296"/>
      </w:tabs>
      <w:ind w:left="2" w:leftChars="1"/>
    </w:pPr>
    <w:rPr>
      <w:b/>
      <w:sz w:val="24"/>
      <w:szCs w:val="20"/>
    </w:rPr>
  </w:style>
  <w:style w:type="paragraph" w:styleId="31">
    <w:name w:val="toc 4"/>
    <w:basedOn w:val="1"/>
    <w:next w:val="1"/>
    <w:unhideWhenUsed/>
    <w:qFormat/>
    <w:uiPriority w:val="39"/>
    <w:pPr>
      <w:ind w:left="1260" w:leftChars="600"/>
    </w:pPr>
  </w:style>
  <w:style w:type="paragraph" w:styleId="32">
    <w:name w:val="Subtitle"/>
    <w:basedOn w:val="1"/>
    <w:next w:val="1"/>
    <w:link w:val="98"/>
    <w:qFormat/>
    <w:uiPriority w:val="0"/>
    <w:pPr>
      <w:spacing w:before="240" w:after="60" w:line="312" w:lineRule="auto"/>
      <w:jc w:val="center"/>
      <w:outlineLvl w:val="1"/>
    </w:pPr>
    <w:rPr>
      <w:rFonts w:ascii="Cambria" w:hAnsi="Cambria" w:eastAsia="华文楷体" w:cstheme="minorBidi"/>
      <w:b/>
      <w:bCs/>
      <w:kern w:val="28"/>
      <w:sz w:val="32"/>
      <w:szCs w:val="32"/>
    </w:rPr>
  </w:style>
  <w:style w:type="paragraph" w:styleId="33">
    <w:name w:val="toc 6"/>
    <w:basedOn w:val="1"/>
    <w:next w:val="1"/>
    <w:unhideWhenUsed/>
    <w:qFormat/>
    <w:uiPriority w:val="39"/>
    <w:pPr>
      <w:ind w:left="2100" w:leftChars="1000"/>
    </w:pPr>
  </w:style>
  <w:style w:type="paragraph" w:styleId="34">
    <w:name w:val="Body Text Indent 3"/>
    <w:basedOn w:val="1"/>
    <w:link w:val="81"/>
    <w:qFormat/>
    <w:uiPriority w:val="0"/>
    <w:pPr>
      <w:spacing w:after="120"/>
      <w:ind w:left="420" w:leftChars="200"/>
    </w:pPr>
    <w:rPr>
      <w:rFonts w:asciiTheme="minorHAnsi" w:hAnsiTheme="minorHAnsi" w:cstheme="minorBidi"/>
      <w:sz w:val="16"/>
      <w:szCs w:val="16"/>
    </w:rPr>
  </w:style>
  <w:style w:type="paragraph" w:styleId="35">
    <w:name w:val="toc 2"/>
    <w:basedOn w:val="1"/>
    <w:next w:val="1"/>
    <w:qFormat/>
    <w:uiPriority w:val="39"/>
    <w:pPr>
      <w:tabs>
        <w:tab w:val="right" w:leader="dot" w:pos="8296"/>
      </w:tabs>
      <w:ind w:left="200" w:leftChars="200"/>
    </w:pPr>
    <w:rPr>
      <w:sz w:val="24"/>
    </w:rPr>
  </w:style>
  <w:style w:type="paragraph" w:styleId="36">
    <w:name w:val="toc 9"/>
    <w:basedOn w:val="1"/>
    <w:next w:val="1"/>
    <w:unhideWhenUsed/>
    <w:qFormat/>
    <w:uiPriority w:val="39"/>
    <w:pPr>
      <w:ind w:left="3360" w:leftChars="1600"/>
    </w:pPr>
  </w:style>
  <w:style w:type="paragraph" w:styleId="37">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8">
    <w:name w:val="index 1"/>
    <w:basedOn w:val="1"/>
    <w:next w:val="1"/>
    <w:semiHidden/>
    <w:qFormat/>
    <w:uiPriority w:val="0"/>
    <w:pPr>
      <w:spacing w:line="220" w:lineRule="exact"/>
      <w:jc w:val="center"/>
    </w:pPr>
    <w:rPr>
      <w:rFonts w:ascii="仿宋_GB2312" w:eastAsia="仿宋_GB2312"/>
      <w:szCs w:val="21"/>
    </w:rPr>
  </w:style>
  <w:style w:type="paragraph" w:styleId="39">
    <w:name w:val="Title"/>
    <w:basedOn w:val="1"/>
    <w:link w:val="116"/>
    <w:qFormat/>
    <w:uiPriority w:val="0"/>
    <w:pPr>
      <w:adjustRightInd w:val="0"/>
      <w:spacing w:before="240" w:after="60" w:line="420" w:lineRule="atLeast"/>
      <w:jc w:val="center"/>
      <w:textAlignment w:val="baseline"/>
      <w:outlineLvl w:val="0"/>
    </w:pPr>
    <w:rPr>
      <w:rFonts w:ascii="Arial" w:hAnsi="Arial" w:eastAsiaTheme="minorEastAsia" w:cstheme="minorBidi"/>
      <w:b/>
      <w:sz w:val="32"/>
    </w:rPr>
  </w:style>
  <w:style w:type="paragraph" w:styleId="40">
    <w:name w:val="annotation subject"/>
    <w:basedOn w:val="17"/>
    <w:next w:val="17"/>
    <w:link w:val="120"/>
    <w:semiHidden/>
    <w:qFormat/>
    <w:uiPriority w:val="0"/>
    <w:rPr>
      <w:rFonts w:ascii="宋体" w:hAnsi="宋体" w:eastAsiaTheme="minorEastAsia" w:cstheme="minorBidi"/>
      <w:b/>
      <w:bCs/>
      <w:szCs w:val="24"/>
    </w:rPr>
  </w:style>
  <w:style w:type="paragraph" w:styleId="41">
    <w:name w:val="Body Text First Indent"/>
    <w:basedOn w:val="2"/>
    <w:link w:val="190"/>
    <w:qFormat/>
    <w:uiPriority w:val="0"/>
    <w:pPr>
      <w:ind w:firstLine="420" w:firstLineChars="100"/>
    </w:pPr>
    <w:rPr>
      <w:rFonts w:ascii="宋体" w:hAnsi="宋体"/>
      <w:szCs w:val="24"/>
    </w:rPr>
  </w:style>
  <w:style w:type="table" w:styleId="43">
    <w:name w:val="Table Grid"/>
    <w:basedOn w:val="4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qFormat/>
    <w:uiPriority w:val="0"/>
    <w:rPr>
      <w:b/>
      <w:bCs/>
    </w:rPr>
  </w:style>
  <w:style w:type="character" w:styleId="46">
    <w:name w:val="page number"/>
    <w:basedOn w:val="44"/>
    <w:qFormat/>
    <w:uiPriority w:val="0"/>
  </w:style>
  <w:style w:type="character" w:styleId="47">
    <w:name w:val="FollowedHyperlink"/>
    <w:qFormat/>
    <w:uiPriority w:val="99"/>
    <w:rPr>
      <w:color w:val="333333"/>
      <w:u w:val="none"/>
    </w:rPr>
  </w:style>
  <w:style w:type="character" w:styleId="48">
    <w:name w:val="HTML Definition"/>
    <w:basedOn w:val="44"/>
    <w:semiHidden/>
    <w:unhideWhenUsed/>
    <w:qFormat/>
    <w:uiPriority w:val="99"/>
  </w:style>
  <w:style w:type="character" w:styleId="49">
    <w:name w:val="HTML Typewriter"/>
    <w:basedOn w:val="44"/>
    <w:semiHidden/>
    <w:unhideWhenUsed/>
    <w:qFormat/>
    <w:uiPriority w:val="99"/>
    <w:rPr>
      <w:rFonts w:hint="default" w:ascii="monospace" w:hAnsi="monospace" w:eastAsia="monospace" w:cs="monospace"/>
      <w:sz w:val="20"/>
    </w:rPr>
  </w:style>
  <w:style w:type="character" w:styleId="50">
    <w:name w:val="HTML Acronym"/>
    <w:basedOn w:val="44"/>
    <w:semiHidden/>
    <w:unhideWhenUsed/>
    <w:qFormat/>
    <w:uiPriority w:val="99"/>
  </w:style>
  <w:style w:type="character" w:styleId="51">
    <w:name w:val="HTML Variable"/>
    <w:basedOn w:val="44"/>
    <w:semiHidden/>
    <w:unhideWhenUsed/>
    <w:qFormat/>
    <w:uiPriority w:val="99"/>
  </w:style>
  <w:style w:type="character" w:styleId="52">
    <w:name w:val="Hyperlink"/>
    <w:qFormat/>
    <w:uiPriority w:val="99"/>
    <w:rPr>
      <w:color w:val="333333"/>
      <w:u w:val="none"/>
    </w:rPr>
  </w:style>
  <w:style w:type="character" w:styleId="53">
    <w:name w:val="HTML Code"/>
    <w:basedOn w:val="44"/>
    <w:semiHidden/>
    <w:unhideWhenUsed/>
    <w:qFormat/>
    <w:uiPriority w:val="99"/>
    <w:rPr>
      <w:rFonts w:ascii="monospace" w:hAnsi="monospace" w:eastAsia="monospace" w:cs="monospace"/>
      <w:sz w:val="20"/>
    </w:rPr>
  </w:style>
  <w:style w:type="character" w:styleId="54">
    <w:name w:val="annotation reference"/>
    <w:semiHidden/>
    <w:qFormat/>
    <w:uiPriority w:val="0"/>
    <w:rPr>
      <w:sz w:val="21"/>
      <w:szCs w:val="21"/>
    </w:rPr>
  </w:style>
  <w:style w:type="character" w:styleId="55">
    <w:name w:val="HTML Cite"/>
    <w:basedOn w:val="44"/>
    <w:semiHidden/>
    <w:unhideWhenUsed/>
    <w:qFormat/>
    <w:uiPriority w:val="99"/>
  </w:style>
  <w:style w:type="character" w:styleId="56">
    <w:name w:val="HTML Keyboard"/>
    <w:basedOn w:val="44"/>
    <w:semiHidden/>
    <w:unhideWhenUsed/>
    <w:qFormat/>
    <w:uiPriority w:val="99"/>
    <w:rPr>
      <w:rFonts w:hint="default" w:ascii="monospace" w:hAnsi="monospace" w:eastAsia="monospace" w:cs="monospace"/>
      <w:sz w:val="20"/>
    </w:rPr>
  </w:style>
  <w:style w:type="character" w:styleId="57">
    <w:name w:val="HTML Sample"/>
    <w:basedOn w:val="44"/>
    <w:semiHidden/>
    <w:unhideWhenUsed/>
    <w:qFormat/>
    <w:uiPriority w:val="99"/>
    <w:rPr>
      <w:rFonts w:hint="default" w:ascii="monospace" w:hAnsi="monospace" w:eastAsia="monospace" w:cs="monospace"/>
    </w:rPr>
  </w:style>
  <w:style w:type="character" w:customStyle="1" w:styleId="58">
    <w:name w:val="页眉 Char"/>
    <w:basedOn w:val="44"/>
    <w:link w:val="29"/>
    <w:qFormat/>
    <w:uiPriority w:val="0"/>
    <w:rPr>
      <w:sz w:val="18"/>
      <w:szCs w:val="18"/>
    </w:rPr>
  </w:style>
  <w:style w:type="character" w:customStyle="1" w:styleId="59">
    <w:name w:val="页脚 Char"/>
    <w:basedOn w:val="44"/>
    <w:link w:val="28"/>
    <w:qFormat/>
    <w:uiPriority w:val="99"/>
    <w:rPr>
      <w:sz w:val="18"/>
      <w:szCs w:val="18"/>
    </w:rPr>
  </w:style>
  <w:style w:type="character" w:customStyle="1" w:styleId="60">
    <w:name w:val="标题 1 Char"/>
    <w:basedOn w:val="44"/>
    <w:link w:val="3"/>
    <w:qFormat/>
    <w:uiPriority w:val="0"/>
    <w:rPr>
      <w:rFonts w:ascii="宋体" w:hAnsi="宋体" w:eastAsia="宋体" w:cs="Times New Roman"/>
      <w:b/>
      <w:kern w:val="0"/>
      <w:sz w:val="36"/>
      <w:szCs w:val="44"/>
    </w:rPr>
  </w:style>
  <w:style w:type="character" w:customStyle="1" w:styleId="61">
    <w:name w:val="标题 2 Char"/>
    <w:basedOn w:val="44"/>
    <w:link w:val="4"/>
    <w:qFormat/>
    <w:uiPriority w:val="0"/>
    <w:rPr>
      <w:rFonts w:ascii="宋体" w:hAnsi="宋体" w:eastAsia="宋体" w:cs="Times New Roman"/>
      <w:b/>
      <w:bCs/>
      <w:sz w:val="28"/>
      <w:szCs w:val="28"/>
    </w:rPr>
  </w:style>
  <w:style w:type="character" w:customStyle="1" w:styleId="62">
    <w:name w:val="标题 3 Char"/>
    <w:basedOn w:val="44"/>
    <w:link w:val="5"/>
    <w:qFormat/>
    <w:uiPriority w:val="0"/>
    <w:rPr>
      <w:rFonts w:ascii="宋体" w:hAnsi="宋体" w:eastAsia="宋体" w:cs="Times New Roman"/>
      <w:b/>
      <w:bCs/>
      <w:sz w:val="24"/>
      <w:szCs w:val="24"/>
    </w:rPr>
  </w:style>
  <w:style w:type="character" w:customStyle="1" w:styleId="63">
    <w:name w:val="标题 4 Char"/>
    <w:basedOn w:val="44"/>
    <w:link w:val="6"/>
    <w:qFormat/>
    <w:uiPriority w:val="0"/>
    <w:rPr>
      <w:rFonts w:ascii="宋体" w:hAnsi="宋体" w:eastAsia="宋体" w:cs="Times New Roman"/>
      <w:sz w:val="24"/>
      <w:szCs w:val="28"/>
    </w:rPr>
  </w:style>
  <w:style w:type="character" w:customStyle="1" w:styleId="64">
    <w:name w:val="标题 5 Char"/>
    <w:basedOn w:val="44"/>
    <w:link w:val="7"/>
    <w:qFormat/>
    <w:uiPriority w:val="0"/>
    <w:rPr>
      <w:rFonts w:ascii="Calibri" w:hAnsi="Calibri" w:eastAsia="宋体" w:cs="Times New Roman"/>
      <w:b/>
      <w:bCs/>
      <w:kern w:val="0"/>
      <w:sz w:val="28"/>
      <w:szCs w:val="28"/>
    </w:rPr>
  </w:style>
  <w:style w:type="character" w:customStyle="1" w:styleId="65">
    <w:name w:val="标题 6 Char"/>
    <w:basedOn w:val="44"/>
    <w:link w:val="8"/>
    <w:qFormat/>
    <w:uiPriority w:val="0"/>
    <w:rPr>
      <w:rFonts w:ascii="Arial" w:hAnsi="Arial" w:eastAsia="黑体" w:cs="Times New Roman"/>
      <w:b/>
      <w:bCs/>
      <w:kern w:val="0"/>
      <w:sz w:val="24"/>
      <w:szCs w:val="24"/>
    </w:rPr>
  </w:style>
  <w:style w:type="character" w:customStyle="1" w:styleId="66">
    <w:name w:val="标题 7 Char"/>
    <w:basedOn w:val="44"/>
    <w:link w:val="9"/>
    <w:qFormat/>
    <w:uiPriority w:val="0"/>
    <w:rPr>
      <w:rFonts w:ascii="宋体" w:hAnsi="宋体" w:eastAsia="宋体" w:cs="Times New Roman"/>
      <w:b/>
      <w:bCs/>
      <w:kern w:val="0"/>
      <w:sz w:val="24"/>
      <w:szCs w:val="24"/>
    </w:rPr>
  </w:style>
  <w:style w:type="character" w:customStyle="1" w:styleId="67">
    <w:name w:val="标题 8 Char"/>
    <w:basedOn w:val="44"/>
    <w:link w:val="10"/>
    <w:qFormat/>
    <w:uiPriority w:val="0"/>
    <w:rPr>
      <w:rFonts w:ascii="Arial" w:hAnsi="Arial" w:eastAsia="黑体" w:cs="Times New Roman"/>
      <w:kern w:val="0"/>
      <w:sz w:val="24"/>
      <w:szCs w:val="24"/>
    </w:rPr>
  </w:style>
  <w:style w:type="character" w:customStyle="1" w:styleId="68">
    <w:name w:val="标题 9 Char"/>
    <w:basedOn w:val="44"/>
    <w:link w:val="11"/>
    <w:qFormat/>
    <w:uiPriority w:val="0"/>
    <w:rPr>
      <w:rFonts w:ascii="Arial" w:hAnsi="Arial" w:eastAsia="黑体" w:cs="Times New Roman"/>
      <w:kern w:val="0"/>
      <w:szCs w:val="21"/>
    </w:rPr>
  </w:style>
  <w:style w:type="character" w:customStyle="1" w:styleId="69">
    <w:name w:val="正文文本缩进 2 Char"/>
    <w:link w:val="26"/>
    <w:qFormat/>
    <w:uiPriority w:val="0"/>
    <w:rPr>
      <w:rFonts w:ascii="宋体" w:hAnsi="宋体"/>
    </w:rPr>
  </w:style>
  <w:style w:type="character" w:customStyle="1" w:styleId="70">
    <w:name w:val="副标题 Char1"/>
    <w:qFormat/>
    <w:uiPriority w:val="11"/>
    <w:rPr>
      <w:rFonts w:hint="default" w:ascii="Cambria" w:hAnsi="Cambria" w:cs="Times New Roman"/>
      <w:b/>
      <w:bCs/>
      <w:kern w:val="28"/>
      <w:sz w:val="32"/>
      <w:szCs w:val="32"/>
    </w:rPr>
  </w:style>
  <w:style w:type="character" w:customStyle="1" w:styleId="71">
    <w:name w:val="textcontents"/>
    <w:qFormat/>
    <w:uiPriority w:val="0"/>
    <w:rPr>
      <w:rFonts w:hint="default" w:ascii="Times New Roman" w:hAnsi="Times New Roman" w:cs="Times New Roman"/>
    </w:rPr>
  </w:style>
  <w:style w:type="character" w:customStyle="1" w:styleId="72">
    <w:name w:val="标题 2 Char_2"/>
    <w:link w:val="73"/>
    <w:qFormat/>
    <w:uiPriority w:val="0"/>
    <w:rPr>
      <w:rFonts w:ascii="Calibri" w:hAnsi="Calibri"/>
      <w:b/>
      <w:bCs/>
      <w:sz w:val="28"/>
      <w:szCs w:val="28"/>
      <w:lang w:val="en-US" w:eastAsia="zh-CN"/>
    </w:rPr>
  </w:style>
  <w:style w:type="paragraph" w:customStyle="1" w:styleId="73">
    <w:name w:val="标题 2_2"/>
    <w:basedOn w:val="74"/>
    <w:next w:val="74"/>
    <w:link w:val="72"/>
    <w:qFormat/>
    <w:uiPriority w:val="0"/>
    <w:pPr>
      <w:widowControl/>
      <w:spacing w:line="600" w:lineRule="exact"/>
      <w:contextualSpacing/>
      <w:jc w:val="center"/>
      <w:outlineLvl w:val="1"/>
    </w:pPr>
    <w:rPr>
      <w:rFonts w:eastAsiaTheme="minorEastAsia" w:cstheme="minorBidi"/>
      <w:b/>
      <w:bCs/>
      <w:sz w:val="28"/>
      <w:szCs w:val="28"/>
    </w:rPr>
  </w:style>
  <w:style w:type="paragraph" w:customStyle="1" w:styleId="74">
    <w:name w:val="正文_1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75">
    <w:name w:val="标题 3 Char1"/>
    <w:link w:val="76"/>
    <w:qFormat/>
    <w:uiPriority w:val="0"/>
    <w:rPr>
      <w:b/>
      <w:bCs/>
      <w:sz w:val="32"/>
      <w:szCs w:val="32"/>
    </w:rPr>
  </w:style>
  <w:style w:type="paragraph" w:customStyle="1" w:styleId="76">
    <w:name w:val="标题 3_0"/>
    <w:basedOn w:val="77"/>
    <w:next w:val="77"/>
    <w:link w:val="75"/>
    <w:qFormat/>
    <w:uiPriority w:val="0"/>
    <w:pPr>
      <w:spacing w:before="260" w:after="260" w:line="416" w:lineRule="auto"/>
      <w:outlineLvl w:val="2"/>
    </w:pPr>
    <w:rPr>
      <w:rFonts w:asciiTheme="minorHAnsi" w:hAnsiTheme="minorHAnsi" w:eastAsiaTheme="minorEastAsia" w:cstheme="minorBidi"/>
      <w:b/>
      <w:bCs/>
      <w:sz w:val="32"/>
      <w:szCs w:val="32"/>
    </w:rPr>
  </w:style>
  <w:style w:type="paragraph" w:customStyle="1" w:styleId="77">
    <w:name w:val="正文_0"/>
    <w:qFormat/>
    <w:uiPriority w:val="0"/>
    <w:pPr>
      <w:widowControl w:val="0"/>
      <w:jc w:val="both"/>
    </w:pPr>
    <w:rPr>
      <w:rFonts w:ascii="Calibri" w:hAnsi="Calibri" w:eastAsia="宋体" w:cs="Times New Roman"/>
      <w:kern w:val="2"/>
      <w:sz w:val="21"/>
      <w:szCs w:val="21"/>
      <w:lang w:val="en-US" w:eastAsia="zh-CN" w:bidi="ar-SA"/>
    </w:rPr>
  </w:style>
  <w:style w:type="character" w:customStyle="1" w:styleId="78">
    <w:name w:val="标题 3 Char_0_0"/>
    <w:link w:val="79"/>
    <w:qFormat/>
    <w:uiPriority w:val="0"/>
    <w:rPr>
      <w:rFonts w:ascii="Calibri" w:hAnsi="Calibri"/>
      <w:b/>
      <w:bCs/>
      <w:sz w:val="24"/>
      <w:lang w:val="en-US" w:eastAsia="zh-CN"/>
    </w:rPr>
  </w:style>
  <w:style w:type="paragraph" w:customStyle="1" w:styleId="79">
    <w:name w:val="标题 3_0_0"/>
    <w:basedOn w:val="80"/>
    <w:next w:val="80"/>
    <w:link w:val="78"/>
    <w:qFormat/>
    <w:uiPriority w:val="0"/>
    <w:pPr>
      <w:keepNext/>
      <w:keepLines/>
      <w:widowControl/>
      <w:spacing w:after="120" w:line="500" w:lineRule="exact"/>
      <w:jc w:val="left"/>
      <w:outlineLvl w:val="2"/>
    </w:pPr>
    <w:rPr>
      <w:rFonts w:eastAsiaTheme="minorEastAsia" w:cstheme="minorBidi"/>
      <w:b/>
      <w:bCs/>
      <w:sz w:val="24"/>
    </w:rPr>
  </w:style>
  <w:style w:type="paragraph" w:customStyle="1" w:styleId="80">
    <w:name w:val="正文_3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81">
    <w:name w:val="正文文本缩进 3 Char"/>
    <w:link w:val="34"/>
    <w:qFormat/>
    <w:uiPriority w:val="0"/>
    <w:rPr>
      <w:rFonts w:eastAsia="宋体"/>
      <w:sz w:val="16"/>
      <w:szCs w:val="16"/>
    </w:rPr>
  </w:style>
  <w:style w:type="character" w:customStyle="1" w:styleId="82">
    <w:name w:val="批注文字 Char Char"/>
    <w:qFormat/>
    <w:uiPriority w:val="0"/>
    <w:rPr>
      <w:rFonts w:hint="eastAsia" w:ascii="宋体" w:hAnsi="Times New Roman" w:eastAsia="宋体" w:cs="Times New Roman"/>
      <w:sz w:val="28"/>
      <w:szCs w:val="20"/>
    </w:rPr>
  </w:style>
  <w:style w:type="character" w:customStyle="1" w:styleId="83">
    <w:name w:val="标题 2 Char_3"/>
    <w:link w:val="84"/>
    <w:qFormat/>
    <w:uiPriority w:val="0"/>
    <w:rPr>
      <w:rFonts w:ascii="Calibri" w:hAnsi="Calibri"/>
      <w:b/>
      <w:bCs/>
      <w:sz w:val="28"/>
      <w:szCs w:val="28"/>
      <w:lang w:val="en-US" w:eastAsia="zh-CN"/>
    </w:rPr>
  </w:style>
  <w:style w:type="paragraph" w:customStyle="1" w:styleId="84">
    <w:name w:val="标题 2_3"/>
    <w:basedOn w:val="85"/>
    <w:next w:val="85"/>
    <w:link w:val="83"/>
    <w:qFormat/>
    <w:uiPriority w:val="0"/>
    <w:pPr>
      <w:widowControl/>
      <w:spacing w:line="600" w:lineRule="exact"/>
      <w:contextualSpacing/>
      <w:jc w:val="center"/>
      <w:outlineLvl w:val="1"/>
    </w:pPr>
    <w:rPr>
      <w:rFonts w:eastAsiaTheme="minorEastAsia" w:cstheme="minorBidi"/>
      <w:b/>
      <w:bCs/>
      <w:sz w:val="28"/>
      <w:szCs w:val="28"/>
    </w:rPr>
  </w:style>
  <w:style w:type="paragraph" w:customStyle="1" w:styleId="85">
    <w:name w:val="正文_0_4"/>
    <w:qFormat/>
    <w:uiPriority w:val="0"/>
    <w:pPr>
      <w:widowControl w:val="0"/>
      <w:jc w:val="both"/>
    </w:pPr>
    <w:rPr>
      <w:rFonts w:ascii="Calibri" w:hAnsi="Calibri" w:eastAsia="宋体" w:cs="Times New Roman"/>
      <w:kern w:val="2"/>
      <w:sz w:val="21"/>
      <w:szCs w:val="22"/>
      <w:lang w:val="en-US" w:eastAsia="zh-CN" w:bidi="ar-SA"/>
    </w:rPr>
  </w:style>
  <w:style w:type="character" w:customStyle="1" w:styleId="86">
    <w:name w:val="引用 Char1"/>
    <w:qFormat/>
    <w:uiPriority w:val="29"/>
    <w:rPr>
      <w:i/>
      <w:iCs/>
      <w:color w:val="000000"/>
      <w:kern w:val="2"/>
      <w:sz w:val="21"/>
      <w:szCs w:val="22"/>
    </w:rPr>
  </w:style>
  <w:style w:type="character" w:customStyle="1" w:styleId="87">
    <w:name w:val="页眉 Char1"/>
    <w:semiHidden/>
    <w:qFormat/>
    <w:uiPriority w:val="99"/>
    <w:rPr>
      <w:kern w:val="2"/>
      <w:sz w:val="18"/>
      <w:szCs w:val="18"/>
    </w:rPr>
  </w:style>
  <w:style w:type="character" w:customStyle="1" w:styleId="88">
    <w:name w:val="正文文本 Char1"/>
    <w:qFormat/>
    <w:uiPriority w:val="0"/>
    <w:rPr>
      <w:kern w:val="2"/>
      <w:sz w:val="21"/>
      <w:szCs w:val="22"/>
    </w:rPr>
  </w:style>
  <w:style w:type="character" w:customStyle="1" w:styleId="89">
    <w:name w:val="日期 Char"/>
    <w:link w:val="25"/>
    <w:qFormat/>
    <w:uiPriority w:val="0"/>
    <w:rPr>
      <w:rFonts w:ascii="宋体" w:hAnsi="宋体"/>
      <w:szCs w:val="24"/>
    </w:rPr>
  </w:style>
  <w:style w:type="character" w:customStyle="1" w:styleId="90">
    <w:name w:val="日期 Char1"/>
    <w:qFormat/>
    <w:uiPriority w:val="0"/>
    <w:rPr>
      <w:kern w:val="2"/>
      <w:sz w:val="21"/>
      <w:szCs w:val="22"/>
    </w:rPr>
  </w:style>
  <w:style w:type="character" w:customStyle="1" w:styleId="91">
    <w:name w:val="font161"/>
    <w:qFormat/>
    <w:uiPriority w:val="0"/>
    <w:rPr>
      <w:b/>
      <w:bCs/>
      <w:sz w:val="32"/>
      <w:szCs w:val="32"/>
    </w:rPr>
  </w:style>
  <w:style w:type="character" w:customStyle="1" w:styleId="92">
    <w:name w:val="批注主题 Char1"/>
    <w:qFormat/>
    <w:uiPriority w:val="0"/>
    <w:rPr>
      <w:rFonts w:hint="default" w:ascii="Times New Roman" w:hAnsi="Times New Roman" w:eastAsia="宋体" w:cs="Times New Roman"/>
      <w:b/>
      <w:bCs/>
      <w:szCs w:val="24"/>
    </w:rPr>
  </w:style>
  <w:style w:type="character" w:customStyle="1" w:styleId="93">
    <w:name w:val="正文文本缩进 2 Char1"/>
    <w:semiHidden/>
    <w:qFormat/>
    <w:uiPriority w:val="99"/>
    <w:rPr>
      <w:rFonts w:hint="default" w:ascii="Times New Roman" w:hAnsi="Times New Roman" w:eastAsia="宋体" w:cs="Times New Roman"/>
      <w:szCs w:val="24"/>
    </w:rPr>
  </w:style>
  <w:style w:type="character" w:customStyle="1" w:styleId="94">
    <w:name w:val="标题 Char1"/>
    <w:qFormat/>
    <w:uiPriority w:val="10"/>
    <w:rPr>
      <w:rFonts w:hint="default" w:ascii="Cambria" w:hAnsi="Cambria" w:cs="Times New Roman"/>
      <w:b/>
      <w:bCs/>
      <w:kern w:val="2"/>
      <w:sz w:val="32"/>
      <w:szCs w:val="32"/>
    </w:rPr>
  </w:style>
  <w:style w:type="character" w:customStyle="1" w:styleId="95">
    <w:name w:val="unnamed11"/>
    <w:qFormat/>
    <w:uiPriority w:val="0"/>
  </w:style>
  <w:style w:type="character" w:customStyle="1" w:styleId="96">
    <w:name w:val="纯文本 Char"/>
    <w:qFormat/>
    <w:uiPriority w:val="0"/>
    <w:rPr>
      <w:rFonts w:ascii="宋体" w:hAnsi="Courier New" w:eastAsia="宋体" w:cs="Courier New"/>
      <w:kern w:val="2"/>
      <w:sz w:val="21"/>
      <w:szCs w:val="21"/>
      <w:lang w:val="en-US" w:eastAsia="zh-CN" w:bidi="ar-SA"/>
    </w:rPr>
  </w:style>
  <w:style w:type="character" w:customStyle="1" w:styleId="97">
    <w:name w:val="批注框文本 Char"/>
    <w:link w:val="27"/>
    <w:semiHidden/>
    <w:qFormat/>
    <w:uiPriority w:val="0"/>
    <w:rPr>
      <w:rFonts w:ascii="宋体" w:hAnsi="宋体"/>
      <w:sz w:val="18"/>
      <w:szCs w:val="18"/>
    </w:rPr>
  </w:style>
  <w:style w:type="character" w:customStyle="1" w:styleId="98">
    <w:name w:val="副标题 Char"/>
    <w:link w:val="32"/>
    <w:qFormat/>
    <w:uiPriority w:val="0"/>
    <w:rPr>
      <w:rFonts w:ascii="Cambria" w:hAnsi="Cambria" w:eastAsia="华文楷体"/>
      <w:b/>
      <w:bCs/>
      <w:kern w:val="28"/>
      <w:sz w:val="32"/>
      <w:szCs w:val="32"/>
    </w:rPr>
  </w:style>
  <w:style w:type="character" w:customStyle="1" w:styleId="99">
    <w:name w:val="正文文本 3 Char"/>
    <w:link w:val="18"/>
    <w:qFormat/>
    <w:uiPriority w:val="0"/>
    <w:rPr>
      <w:rFonts w:ascii="宋体" w:eastAsia="宋体"/>
      <w:sz w:val="24"/>
    </w:rPr>
  </w:style>
  <w:style w:type="character" w:customStyle="1" w:styleId="100">
    <w:name w:val="正文文本 Char4"/>
    <w:link w:val="101"/>
    <w:semiHidden/>
    <w:qFormat/>
    <w:uiPriority w:val="0"/>
  </w:style>
  <w:style w:type="paragraph" w:customStyle="1" w:styleId="101">
    <w:name w:val="正文文本_0"/>
    <w:basedOn w:val="77"/>
    <w:link w:val="100"/>
    <w:semiHidden/>
    <w:qFormat/>
    <w:uiPriority w:val="0"/>
    <w:pPr>
      <w:spacing w:after="120"/>
    </w:pPr>
    <w:rPr>
      <w:rFonts w:asciiTheme="minorHAnsi" w:hAnsiTheme="minorHAnsi" w:eastAsiaTheme="minorEastAsia" w:cstheme="minorBidi"/>
      <w:szCs w:val="22"/>
    </w:rPr>
  </w:style>
  <w:style w:type="character" w:customStyle="1" w:styleId="102">
    <w:name w:val="批注文字 Char"/>
    <w:qFormat/>
    <w:uiPriority w:val="0"/>
    <w:rPr>
      <w:rFonts w:eastAsia="宋体"/>
      <w:kern w:val="2"/>
      <w:sz w:val="21"/>
      <w:szCs w:val="24"/>
      <w:lang w:val="en-US" w:eastAsia="zh-CN" w:bidi="ar-SA"/>
    </w:rPr>
  </w:style>
  <w:style w:type="character" w:customStyle="1" w:styleId="103">
    <w:name w:val="正文文本缩进 Char"/>
    <w:link w:val="19"/>
    <w:qFormat/>
    <w:uiPriority w:val="0"/>
    <w:rPr>
      <w:rFonts w:ascii="宋体" w:hAnsi="宋体"/>
      <w:szCs w:val="24"/>
    </w:rPr>
  </w:style>
  <w:style w:type="character" w:customStyle="1" w:styleId="104">
    <w:name w:val="明显强调1"/>
    <w:qFormat/>
    <w:uiPriority w:val="0"/>
    <w:rPr>
      <w:rFonts w:eastAsia="仿宋_GB2312"/>
      <w:bCs/>
      <w:iCs/>
      <w:color w:val="auto"/>
      <w:sz w:val="32"/>
    </w:rPr>
  </w:style>
  <w:style w:type="character" w:customStyle="1" w:styleId="105">
    <w:name w:val="标题5 Char Char"/>
    <w:link w:val="106"/>
    <w:semiHidden/>
    <w:qFormat/>
    <w:locked/>
    <w:uiPriority w:val="0"/>
    <w:rPr>
      <w:rFonts w:ascii="Arial" w:hAnsi="Arial" w:cs="Arial"/>
      <w:b/>
      <w:bCs/>
      <w:sz w:val="24"/>
      <w:szCs w:val="32"/>
    </w:rPr>
  </w:style>
  <w:style w:type="paragraph" w:customStyle="1" w:styleId="106">
    <w:name w:val="标题5"/>
    <w:basedOn w:val="5"/>
    <w:link w:val="105"/>
    <w:semiHidden/>
    <w:qFormat/>
    <w:uiPriority w:val="0"/>
    <w:pPr>
      <w:spacing w:before="260" w:after="260" w:line="410" w:lineRule="auto"/>
      <w:jc w:val="both"/>
    </w:pPr>
    <w:rPr>
      <w:rFonts w:ascii="Arial" w:hAnsi="Arial" w:cs="Arial" w:eastAsiaTheme="minorEastAsia"/>
      <w:szCs w:val="32"/>
    </w:rPr>
  </w:style>
  <w:style w:type="character" w:customStyle="1" w:styleId="107">
    <w:name w:val="标题4 Char Char"/>
    <w:link w:val="108"/>
    <w:semiHidden/>
    <w:qFormat/>
    <w:locked/>
    <w:uiPriority w:val="0"/>
    <w:rPr>
      <w:rFonts w:ascii="Arial" w:hAnsi="Arial" w:cs="Arial"/>
      <w:b/>
      <w:bCs/>
      <w:sz w:val="24"/>
      <w:szCs w:val="32"/>
    </w:rPr>
  </w:style>
  <w:style w:type="paragraph" w:customStyle="1" w:styleId="108">
    <w:name w:val="标题4"/>
    <w:basedOn w:val="4"/>
    <w:next w:val="20"/>
    <w:link w:val="107"/>
    <w:semiHidden/>
    <w:qFormat/>
    <w:uiPriority w:val="0"/>
    <w:pPr>
      <w:keepNext/>
      <w:keepLines/>
      <w:spacing w:before="260" w:after="260" w:line="410" w:lineRule="auto"/>
      <w:jc w:val="both"/>
    </w:pPr>
    <w:rPr>
      <w:rFonts w:ascii="Arial" w:hAnsi="Arial" w:cs="Arial" w:eastAsiaTheme="minorEastAsia"/>
      <w:sz w:val="24"/>
      <w:szCs w:val="32"/>
    </w:rPr>
  </w:style>
  <w:style w:type="character" w:customStyle="1" w:styleId="109">
    <w:name w:val="批注框文本 Char_0"/>
    <w:link w:val="110"/>
    <w:semiHidden/>
    <w:qFormat/>
    <w:uiPriority w:val="0"/>
    <w:rPr>
      <w:rFonts w:ascii="宋体" w:hAnsi="宋体"/>
      <w:sz w:val="18"/>
      <w:szCs w:val="18"/>
      <w:lang w:val="en-US" w:eastAsia="zh-CN"/>
    </w:rPr>
  </w:style>
  <w:style w:type="paragraph" w:customStyle="1" w:styleId="110">
    <w:name w:val="批注框文本_0"/>
    <w:basedOn w:val="85"/>
    <w:link w:val="109"/>
    <w:semiHidden/>
    <w:qFormat/>
    <w:uiPriority w:val="0"/>
    <w:pPr>
      <w:widowControl/>
      <w:jc w:val="left"/>
    </w:pPr>
    <w:rPr>
      <w:rFonts w:ascii="宋体" w:hAnsi="宋体" w:eastAsiaTheme="minorEastAsia" w:cstheme="minorBidi"/>
      <w:sz w:val="18"/>
      <w:szCs w:val="18"/>
    </w:rPr>
  </w:style>
  <w:style w:type="character" w:customStyle="1" w:styleId="111">
    <w:name w:val="Char Char4"/>
    <w:semiHidden/>
    <w:qFormat/>
    <w:uiPriority w:val="0"/>
    <w:rPr>
      <w:kern w:val="2"/>
      <w:sz w:val="21"/>
      <w:szCs w:val="24"/>
    </w:rPr>
  </w:style>
  <w:style w:type="character" w:customStyle="1" w:styleId="112">
    <w:name w:val="批注框文本 Char1"/>
    <w:qFormat/>
    <w:uiPriority w:val="0"/>
    <w:rPr>
      <w:kern w:val="2"/>
      <w:sz w:val="18"/>
      <w:szCs w:val="18"/>
    </w:rPr>
  </w:style>
  <w:style w:type="character" w:customStyle="1" w:styleId="113">
    <w:name w:val="明显引用 Char"/>
    <w:link w:val="114"/>
    <w:qFormat/>
    <w:uiPriority w:val="0"/>
    <w:rPr>
      <w:rFonts w:ascii="Calibri" w:hAnsi="Calibri"/>
      <w:b/>
      <w:bCs/>
      <w:i/>
      <w:iCs/>
      <w:color w:val="4F81BD"/>
    </w:rPr>
  </w:style>
  <w:style w:type="paragraph" w:styleId="114">
    <w:name w:val="Intense Quote"/>
    <w:basedOn w:val="1"/>
    <w:next w:val="1"/>
    <w:link w:val="113"/>
    <w:qFormat/>
    <w:uiPriority w:val="0"/>
    <w:pPr>
      <w:pBdr>
        <w:bottom w:val="single" w:color="4F81BD" w:sz="4" w:space="4"/>
      </w:pBdr>
      <w:spacing w:before="200" w:after="280"/>
      <w:ind w:left="936" w:right="936"/>
    </w:pPr>
    <w:rPr>
      <w:rFonts w:eastAsiaTheme="minorEastAsia" w:cstheme="minorBidi"/>
      <w:b/>
      <w:bCs/>
      <w:i/>
      <w:iCs/>
      <w:color w:val="4F81BD"/>
    </w:rPr>
  </w:style>
  <w:style w:type="character" w:customStyle="1" w:styleId="115">
    <w:name w:val="引用 Char2"/>
    <w:qFormat/>
    <w:uiPriority w:val="29"/>
    <w:rPr>
      <w:i/>
      <w:iCs/>
      <w:color w:val="000000"/>
      <w:kern w:val="2"/>
      <w:sz w:val="21"/>
      <w:szCs w:val="22"/>
    </w:rPr>
  </w:style>
  <w:style w:type="character" w:customStyle="1" w:styleId="116">
    <w:name w:val="标题 Char"/>
    <w:link w:val="39"/>
    <w:qFormat/>
    <w:uiPriority w:val="0"/>
    <w:rPr>
      <w:rFonts w:ascii="Arial" w:hAnsi="Arial"/>
      <w:b/>
      <w:sz w:val="32"/>
    </w:rPr>
  </w:style>
  <w:style w:type="character" w:customStyle="1" w:styleId="117">
    <w:name w:val="批注文字 Char1"/>
    <w:semiHidden/>
    <w:qFormat/>
    <w:uiPriority w:val="99"/>
    <w:rPr>
      <w:kern w:val="2"/>
      <w:sz w:val="21"/>
      <w:szCs w:val="22"/>
    </w:rPr>
  </w:style>
  <w:style w:type="character" w:customStyle="1" w:styleId="118">
    <w:name w:val="日期 Char2"/>
    <w:semiHidden/>
    <w:qFormat/>
    <w:uiPriority w:val="99"/>
    <w:rPr>
      <w:kern w:val="2"/>
      <w:sz w:val="21"/>
      <w:szCs w:val="22"/>
    </w:rPr>
  </w:style>
  <w:style w:type="character" w:customStyle="1" w:styleId="119">
    <w:name w:val="不明显参考1"/>
    <w:qFormat/>
    <w:uiPriority w:val="0"/>
    <w:rPr>
      <w:smallCaps/>
      <w:color w:val="C0504D"/>
      <w:u w:val="single"/>
    </w:rPr>
  </w:style>
  <w:style w:type="character" w:customStyle="1" w:styleId="120">
    <w:name w:val="批注主题 Char"/>
    <w:link w:val="40"/>
    <w:semiHidden/>
    <w:qFormat/>
    <w:uiPriority w:val="0"/>
    <w:rPr>
      <w:rFonts w:ascii="宋体" w:hAnsi="宋体"/>
      <w:b/>
      <w:bCs/>
      <w:szCs w:val="24"/>
    </w:rPr>
  </w:style>
  <w:style w:type="character" w:customStyle="1" w:styleId="121">
    <w:name w:val="书籍标题1"/>
    <w:qFormat/>
    <w:uiPriority w:val="0"/>
    <w:rPr>
      <w:b/>
      <w:bCs/>
      <w:smallCaps/>
      <w:spacing w:val="5"/>
    </w:rPr>
  </w:style>
  <w:style w:type="character" w:customStyle="1" w:styleId="122">
    <w:name w:val="正文文本 Char2"/>
    <w:semiHidden/>
    <w:qFormat/>
    <w:uiPriority w:val="99"/>
    <w:rPr>
      <w:kern w:val="2"/>
      <w:sz w:val="21"/>
      <w:szCs w:val="22"/>
    </w:rPr>
  </w:style>
  <w:style w:type="character" w:customStyle="1" w:styleId="123">
    <w:name w:val="标题 Char_0"/>
    <w:link w:val="124"/>
    <w:uiPriority w:val="0"/>
    <w:rPr>
      <w:rFonts w:ascii="Arial" w:hAnsi="Arial"/>
      <w:b/>
      <w:sz w:val="32"/>
      <w:lang w:val="en-US" w:eastAsia="zh-CN"/>
    </w:rPr>
  </w:style>
  <w:style w:type="paragraph" w:customStyle="1" w:styleId="124">
    <w:name w:val="标题_0"/>
    <w:basedOn w:val="85"/>
    <w:link w:val="123"/>
    <w:qFormat/>
    <w:uiPriority w:val="0"/>
    <w:pPr>
      <w:widowControl/>
      <w:adjustRightInd w:val="0"/>
      <w:spacing w:before="240" w:after="60" w:line="420" w:lineRule="atLeast"/>
      <w:jc w:val="center"/>
      <w:textAlignment w:val="baseline"/>
      <w:outlineLvl w:val="0"/>
    </w:pPr>
    <w:rPr>
      <w:rFonts w:ascii="Arial" w:hAnsi="Arial" w:eastAsiaTheme="minorEastAsia" w:cstheme="minorBidi"/>
      <w:b/>
      <w:sz w:val="32"/>
    </w:rPr>
  </w:style>
  <w:style w:type="character" w:customStyle="1" w:styleId="125">
    <w:name w:val="正文文本 Char"/>
    <w:qFormat/>
    <w:uiPriority w:val="0"/>
    <w:rPr>
      <w:rFonts w:ascii="宋体" w:hAnsi="宋体"/>
      <w:kern w:val="2"/>
      <w:sz w:val="21"/>
      <w:szCs w:val="24"/>
    </w:rPr>
  </w:style>
  <w:style w:type="character" w:customStyle="1" w:styleId="126">
    <w:name w:val="批注主题 Char2"/>
    <w:semiHidden/>
    <w:qFormat/>
    <w:uiPriority w:val="99"/>
    <w:rPr>
      <w:b/>
      <w:bCs/>
      <w:kern w:val="2"/>
      <w:sz w:val="21"/>
      <w:szCs w:val="22"/>
    </w:rPr>
  </w:style>
  <w:style w:type="character" w:customStyle="1" w:styleId="127">
    <w:name w:val="正文文本缩进 字符"/>
    <w:link w:val="128"/>
    <w:uiPriority w:val="0"/>
    <w:rPr>
      <w:szCs w:val="24"/>
      <w:lang w:val="en-US" w:eastAsia="zh-CN"/>
    </w:rPr>
  </w:style>
  <w:style w:type="paragraph" w:customStyle="1" w:styleId="128">
    <w:name w:val="正文文本缩进_0"/>
    <w:basedOn w:val="129"/>
    <w:link w:val="127"/>
    <w:qFormat/>
    <w:uiPriority w:val="0"/>
    <w:pPr>
      <w:spacing w:after="120"/>
      <w:ind w:left="420" w:leftChars="200"/>
    </w:pPr>
    <w:rPr>
      <w:rFonts w:asciiTheme="minorHAnsi" w:hAnsiTheme="minorHAnsi" w:eastAsiaTheme="minorEastAsia" w:cstheme="minorBidi"/>
      <w:kern w:val="2"/>
      <w:sz w:val="21"/>
      <w:szCs w:val="24"/>
    </w:rPr>
  </w:style>
  <w:style w:type="paragraph" w:customStyle="1" w:styleId="129">
    <w:name w:val="正文_1_0"/>
    <w:qFormat/>
    <w:uiPriority w:val="0"/>
    <w:pPr>
      <w:widowControl w:val="0"/>
      <w:jc w:val="both"/>
    </w:pPr>
    <w:rPr>
      <w:rFonts w:ascii="Calibri" w:hAnsi="Calibri" w:eastAsia="宋体" w:cs="Times New Roman"/>
      <w:lang w:val="en-US" w:eastAsia="zh-CN" w:bidi="ar-SA"/>
    </w:rPr>
  </w:style>
  <w:style w:type="character" w:customStyle="1" w:styleId="130">
    <w:name w:val="标题 3 Char_1"/>
    <w:qFormat/>
    <w:uiPriority w:val="0"/>
    <w:rPr>
      <w:rFonts w:ascii="Calibri" w:hAnsi="Calibri" w:eastAsia="宋体" w:cs="Times New Roman"/>
      <w:b/>
      <w:bCs/>
      <w:sz w:val="24"/>
    </w:rPr>
  </w:style>
  <w:style w:type="character" w:customStyle="1" w:styleId="131">
    <w:name w:val="文档结构图 Char1"/>
    <w:qFormat/>
    <w:uiPriority w:val="0"/>
    <w:rPr>
      <w:rFonts w:hint="eastAsia" w:ascii="宋体" w:hAnsi="宋体" w:eastAsia="宋体"/>
      <w:kern w:val="2"/>
      <w:sz w:val="18"/>
      <w:szCs w:val="18"/>
    </w:rPr>
  </w:style>
  <w:style w:type="character" w:customStyle="1" w:styleId="132">
    <w:name w:val="标题 4 Char_0"/>
    <w:link w:val="133"/>
    <w:qFormat/>
    <w:uiPriority w:val="9"/>
    <w:rPr>
      <w:rFonts w:ascii="Cambria" w:hAnsi="Cambria"/>
      <w:b/>
      <w:bCs/>
      <w:sz w:val="28"/>
      <w:szCs w:val="28"/>
    </w:rPr>
  </w:style>
  <w:style w:type="paragraph" w:customStyle="1" w:styleId="133">
    <w:name w:val="标题 4_0"/>
    <w:basedOn w:val="134"/>
    <w:next w:val="134"/>
    <w:link w:val="132"/>
    <w:unhideWhenUsed/>
    <w:qFormat/>
    <w:uiPriority w:val="9"/>
    <w:pPr>
      <w:keepNext/>
      <w:keepLines/>
      <w:spacing w:before="280" w:after="290" w:line="376" w:lineRule="auto"/>
      <w:outlineLvl w:val="3"/>
    </w:pPr>
    <w:rPr>
      <w:rFonts w:ascii="Cambria" w:hAnsi="Cambria" w:eastAsiaTheme="minorEastAsia" w:cstheme="minorBidi"/>
      <w:b/>
      <w:bCs/>
      <w:sz w:val="28"/>
      <w:szCs w:val="28"/>
    </w:rPr>
  </w:style>
  <w:style w:type="paragraph" w:customStyle="1" w:styleId="134">
    <w:name w:val="正文_2"/>
    <w:qFormat/>
    <w:uiPriority w:val="0"/>
    <w:pPr>
      <w:widowControl w:val="0"/>
      <w:jc w:val="both"/>
    </w:pPr>
    <w:rPr>
      <w:rFonts w:ascii="Calibri" w:hAnsi="Calibri" w:eastAsia="宋体" w:cs="Times New Roman"/>
      <w:kern w:val="2"/>
      <w:sz w:val="21"/>
      <w:szCs w:val="24"/>
      <w:lang w:val="en-US" w:eastAsia="zh-CN" w:bidi="ar-SA"/>
    </w:rPr>
  </w:style>
  <w:style w:type="character" w:customStyle="1" w:styleId="135">
    <w:name w:val="纯文本 Char1"/>
    <w:link w:val="23"/>
    <w:qFormat/>
    <w:uiPriority w:val="0"/>
    <w:rPr>
      <w:rFonts w:ascii="宋体" w:hAnsi="Courier New" w:eastAsia="宋体" w:cs="Courier New"/>
      <w:szCs w:val="21"/>
    </w:rPr>
  </w:style>
  <w:style w:type="character" w:customStyle="1" w:styleId="136">
    <w:name w:val="文档结构图 Char2"/>
    <w:semiHidden/>
    <w:uiPriority w:val="99"/>
    <w:rPr>
      <w:rFonts w:hint="eastAsia" w:ascii="宋体" w:hAnsi="宋体" w:eastAsia="宋体"/>
      <w:kern w:val="2"/>
      <w:sz w:val="18"/>
      <w:szCs w:val="18"/>
    </w:rPr>
  </w:style>
  <w:style w:type="character" w:customStyle="1" w:styleId="137">
    <w:name w:val="标题 3 Char_0"/>
    <w:link w:val="138"/>
    <w:qFormat/>
    <w:uiPriority w:val="9"/>
    <w:rPr>
      <w:rFonts w:ascii="Calibri" w:hAnsi="Calibri"/>
      <w:b/>
      <w:bCs/>
      <w:sz w:val="32"/>
      <w:szCs w:val="32"/>
    </w:rPr>
  </w:style>
  <w:style w:type="paragraph" w:customStyle="1" w:styleId="138">
    <w:name w:val="标题 3_1"/>
    <w:basedOn w:val="139"/>
    <w:next w:val="139"/>
    <w:link w:val="137"/>
    <w:unhideWhenUsed/>
    <w:qFormat/>
    <w:uiPriority w:val="9"/>
    <w:pPr>
      <w:keepNext/>
      <w:keepLines/>
      <w:spacing w:before="260" w:after="260" w:line="416" w:lineRule="auto"/>
      <w:outlineLvl w:val="2"/>
    </w:pPr>
    <w:rPr>
      <w:rFonts w:eastAsiaTheme="minorEastAsia" w:cstheme="minorBidi"/>
      <w:b/>
      <w:bCs/>
      <w:sz w:val="32"/>
      <w:szCs w:val="32"/>
    </w:rPr>
  </w:style>
  <w:style w:type="paragraph" w:customStyle="1" w:styleId="139">
    <w:name w:val="正文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40">
    <w:name w:val="不明显强调1"/>
    <w:qFormat/>
    <w:uiPriority w:val="0"/>
    <w:rPr>
      <w:i/>
      <w:iCs/>
      <w:color w:val="808080"/>
    </w:rPr>
  </w:style>
  <w:style w:type="character" w:customStyle="1" w:styleId="141">
    <w:name w:val="明显引用 Char1"/>
    <w:qFormat/>
    <w:uiPriority w:val="30"/>
    <w:rPr>
      <w:b/>
      <w:bCs/>
      <w:i/>
      <w:iCs/>
      <w:color w:val="4F81BD"/>
      <w:kern w:val="2"/>
      <w:sz w:val="21"/>
      <w:szCs w:val="22"/>
    </w:rPr>
  </w:style>
  <w:style w:type="character" w:customStyle="1" w:styleId="142">
    <w:name w:val="标题 3 Char_1_0"/>
    <w:link w:val="143"/>
    <w:qFormat/>
    <w:uiPriority w:val="0"/>
    <w:rPr>
      <w:rFonts w:ascii="Calibri" w:hAnsi="Calibri"/>
      <w:b/>
      <w:bCs/>
      <w:sz w:val="24"/>
      <w:lang w:val="en-US" w:eastAsia="zh-CN"/>
    </w:rPr>
  </w:style>
  <w:style w:type="paragraph" w:customStyle="1" w:styleId="143">
    <w:name w:val="标题 3_1_0"/>
    <w:basedOn w:val="144"/>
    <w:next w:val="144"/>
    <w:link w:val="142"/>
    <w:qFormat/>
    <w:uiPriority w:val="0"/>
    <w:pPr>
      <w:keepNext/>
      <w:keepLines/>
      <w:widowControl/>
      <w:spacing w:after="120" w:line="500" w:lineRule="exact"/>
      <w:jc w:val="left"/>
      <w:outlineLvl w:val="2"/>
    </w:pPr>
    <w:rPr>
      <w:rFonts w:eastAsiaTheme="minorEastAsia" w:cstheme="minorBidi"/>
      <w:b/>
      <w:bCs/>
      <w:sz w:val="24"/>
    </w:rPr>
  </w:style>
  <w:style w:type="paragraph" w:customStyle="1" w:styleId="144">
    <w:name w:val="正文_4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45">
    <w:name w:val="文档结构图 Char"/>
    <w:link w:val="16"/>
    <w:semiHidden/>
    <w:qFormat/>
    <w:uiPriority w:val="0"/>
    <w:rPr>
      <w:rFonts w:ascii="宋体" w:hAnsi="宋体"/>
      <w:szCs w:val="24"/>
      <w:shd w:val="clear" w:color="auto" w:fill="000080"/>
    </w:rPr>
  </w:style>
  <w:style w:type="character" w:customStyle="1" w:styleId="146">
    <w:name w:val="标题 2 Char_0_0"/>
    <w:link w:val="147"/>
    <w:qFormat/>
    <w:uiPriority w:val="0"/>
    <w:rPr>
      <w:rFonts w:ascii="Calibri" w:hAnsi="Calibri"/>
      <w:b/>
      <w:bCs/>
      <w:sz w:val="28"/>
      <w:szCs w:val="28"/>
      <w:lang w:val="en-US" w:eastAsia="zh-CN"/>
    </w:rPr>
  </w:style>
  <w:style w:type="paragraph" w:customStyle="1" w:styleId="147">
    <w:name w:val="标题 2_0_0"/>
    <w:basedOn w:val="148"/>
    <w:next w:val="149"/>
    <w:link w:val="146"/>
    <w:qFormat/>
    <w:uiPriority w:val="0"/>
    <w:pPr>
      <w:widowControl/>
      <w:spacing w:line="600" w:lineRule="exact"/>
      <w:contextualSpacing/>
      <w:jc w:val="center"/>
      <w:outlineLvl w:val="1"/>
    </w:pPr>
    <w:rPr>
      <w:rFonts w:eastAsiaTheme="minorEastAsia" w:cstheme="minorBidi"/>
      <w:b/>
      <w:bCs/>
      <w:sz w:val="28"/>
      <w:szCs w:val="28"/>
    </w:rPr>
  </w:style>
  <w:style w:type="paragraph" w:customStyle="1" w:styleId="148">
    <w:name w:val="正文_0_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9">
    <w:name w:val="正文缩进_0_0"/>
    <w:basedOn w:val="148"/>
    <w:unhideWhenUsed/>
    <w:qFormat/>
    <w:uiPriority w:val="99"/>
    <w:pPr>
      <w:ind w:firstLine="420"/>
    </w:pPr>
  </w:style>
  <w:style w:type="character" w:customStyle="1" w:styleId="150">
    <w:name w:val="引用 Char"/>
    <w:link w:val="151"/>
    <w:qFormat/>
    <w:uiPriority w:val="0"/>
    <w:rPr>
      <w:rFonts w:ascii="Calibri" w:hAnsi="Calibri"/>
      <w:i/>
      <w:iCs/>
      <w:color w:val="000000"/>
    </w:rPr>
  </w:style>
  <w:style w:type="paragraph" w:styleId="151">
    <w:name w:val="Quote"/>
    <w:basedOn w:val="1"/>
    <w:next w:val="1"/>
    <w:link w:val="150"/>
    <w:qFormat/>
    <w:uiPriority w:val="0"/>
    <w:rPr>
      <w:rFonts w:eastAsiaTheme="minorEastAsia" w:cstheme="minorBidi"/>
      <w:i/>
      <w:iCs/>
      <w:color w:val="000000"/>
    </w:rPr>
  </w:style>
  <w:style w:type="character" w:customStyle="1" w:styleId="152">
    <w:name w:val="明显参考1"/>
    <w:qFormat/>
    <w:uiPriority w:val="0"/>
    <w:rPr>
      <w:b/>
      <w:bCs/>
      <w:smallCaps/>
      <w:color w:val="C0504D"/>
      <w:spacing w:val="5"/>
      <w:u w:val="single"/>
    </w:rPr>
  </w:style>
  <w:style w:type="character" w:customStyle="1" w:styleId="153">
    <w:name w:val="页脚 Char1"/>
    <w:semiHidden/>
    <w:qFormat/>
    <w:uiPriority w:val="99"/>
    <w:rPr>
      <w:kern w:val="2"/>
      <w:sz w:val="18"/>
      <w:szCs w:val="18"/>
    </w:rPr>
  </w:style>
  <w:style w:type="character" w:customStyle="1" w:styleId="154">
    <w:name w:val="批注框文本 Char2"/>
    <w:semiHidden/>
    <w:qFormat/>
    <w:uiPriority w:val="99"/>
    <w:rPr>
      <w:kern w:val="2"/>
      <w:sz w:val="18"/>
      <w:szCs w:val="18"/>
    </w:rPr>
  </w:style>
  <w:style w:type="paragraph" w:customStyle="1" w:styleId="155">
    <w:name w:val="z-窗体顶端1"/>
    <w:basedOn w:val="1"/>
    <w:next w:val="1"/>
    <w:link w:val="156"/>
    <w:qFormat/>
    <w:uiPriority w:val="0"/>
    <w:pPr>
      <w:pBdr>
        <w:bottom w:val="single" w:color="auto" w:sz="6" w:space="1"/>
      </w:pBdr>
      <w:jc w:val="center"/>
    </w:pPr>
    <w:rPr>
      <w:rFonts w:ascii="Arial"/>
      <w:vanish/>
      <w:sz w:val="16"/>
    </w:rPr>
  </w:style>
  <w:style w:type="character" w:customStyle="1" w:styleId="156">
    <w:name w:val="z-窗体顶端 Char"/>
    <w:basedOn w:val="44"/>
    <w:link w:val="155"/>
    <w:qFormat/>
    <w:uiPriority w:val="0"/>
    <w:rPr>
      <w:rFonts w:ascii="Arial" w:hAnsi="Calibri" w:eastAsia="宋体" w:cs="Times New Roman"/>
      <w:vanish/>
      <w:sz w:val="16"/>
    </w:rPr>
  </w:style>
  <w:style w:type="paragraph" w:customStyle="1" w:styleId="15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5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59">
    <w:name w:val="正文_22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60">
    <w:name w:val="副标题 Char2"/>
    <w:basedOn w:val="44"/>
    <w:qFormat/>
    <w:uiPriority w:val="11"/>
    <w:rPr>
      <w:rFonts w:eastAsia="宋体" w:asciiTheme="majorHAnsi" w:hAnsiTheme="majorHAnsi" w:cstheme="majorBidi"/>
      <w:b/>
      <w:bCs/>
      <w:kern w:val="28"/>
      <w:sz w:val="32"/>
      <w:szCs w:val="32"/>
    </w:rPr>
  </w:style>
  <w:style w:type="paragraph" w:customStyle="1" w:styleId="161">
    <w:name w:val="WPSOffice手动目录 2"/>
    <w:qFormat/>
    <w:uiPriority w:val="0"/>
    <w:pPr>
      <w:ind w:left="200" w:leftChars="200"/>
    </w:pPr>
    <w:rPr>
      <w:rFonts w:ascii="Calibri" w:hAnsi="Calibri" w:eastAsia="宋体" w:cs="Times New Roman"/>
      <w:lang w:val="en-US" w:eastAsia="zh-CN" w:bidi="ar-SA"/>
    </w:rPr>
  </w:style>
  <w:style w:type="character" w:customStyle="1" w:styleId="162">
    <w:name w:val="明显引用 Char2"/>
    <w:basedOn w:val="44"/>
    <w:qFormat/>
    <w:uiPriority w:val="30"/>
    <w:rPr>
      <w:rFonts w:ascii="Calibri" w:hAnsi="Calibri" w:eastAsia="宋体" w:cs="Times New Roman"/>
      <w:b/>
      <w:bCs/>
      <w:i/>
      <w:iCs/>
      <w:color w:val="4F81BD" w:themeColor="accent1"/>
      <w14:textFill>
        <w14:solidFill>
          <w14:schemeClr w14:val="accent1"/>
        </w14:solidFill>
      </w14:textFill>
    </w:rPr>
  </w:style>
  <w:style w:type="paragraph" w:customStyle="1" w:styleId="163">
    <w:name w:val="xl36"/>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64">
    <w:name w:val="CM48"/>
    <w:basedOn w:val="157"/>
    <w:next w:val="157"/>
    <w:qFormat/>
    <w:uiPriority w:val="0"/>
    <w:pPr>
      <w:spacing w:line="453" w:lineRule="atLeast"/>
    </w:pPr>
    <w:rPr>
      <w:rFonts w:ascii="仿宋_GB2312" w:hAnsi="Times New Roman" w:eastAsia="仿宋_GB2312" w:cs="Times New Roman"/>
      <w:color w:val="auto"/>
    </w:rPr>
  </w:style>
  <w:style w:type="paragraph" w:customStyle="1" w:styleId="165">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66">
    <w:name w:val="_Style 105"/>
    <w:next w:val="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6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68">
    <w:name w:val="默认段落字体 Para Char Char Char Char"/>
    <w:basedOn w:val="1"/>
    <w:qFormat/>
    <w:uiPriority w:val="0"/>
    <w:pPr>
      <w:spacing w:line="240" w:lineRule="atLeast"/>
      <w:ind w:left="420" w:firstLine="420"/>
    </w:pPr>
  </w:style>
  <w:style w:type="character" w:customStyle="1" w:styleId="169">
    <w:name w:val="标题 Char2"/>
    <w:basedOn w:val="44"/>
    <w:qFormat/>
    <w:uiPriority w:val="10"/>
    <w:rPr>
      <w:rFonts w:eastAsia="宋体" w:asciiTheme="majorHAnsi" w:hAnsiTheme="majorHAnsi" w:cstheme="majorBidi"/>
      <w:b/>
      <w:bCs/>
      <w:sz w:val="32"/>
      <w:szCs w:val="32"/>
    </w:rPr>
  </w:style>
  <w:style w:type="paragraph" w:customStyle="1" w:styleId="170">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71">
    <w:name w:val="xl34"/>
    <w:basedOn w:val="1"/>
    <w:qFormat/>
    <w:uiPriority w:val="0"/>
    <w:pPr>
      <w:widowControl/>
      <w:spacing w:before="100" w:beforeAutospacing="1" w:after="100" w:afterAutospacing="1"/>
      <w:jc w:val="left"/>
    </w:pPr>
    <w:rPr>
      <w:rFonts w:ascii="宋体" w:hAnsi="宋体"/>
      <w:b/>
      <w:bCs/>
      <w:kern w:val="0"/>
      <w:sz w:val="24"/>
    </w:rPr>
  </w:style>
  <w:style w:type="character" w:customStyle="1" w:styleId="172">
    <w:name w:val="批注框文本 Char3"/>
    <w:basedOn w:val="44"/>
    <w:semiHidden/>
    <w:qFormat/>
    <w:uiPriority w:val="99"/>
    <w:rPr>
      <w:rFonts w:ascii="Calibri" w:hAnsi="Calibri" w:eastAsia="宋体" w:cs="Times New Roman"/>
      <w:sz w:val="18"/>
      <w:szCs w:val="18"/>
    </w:rPr>
  </w:style>
  <w:style w:type="paragraph" w:customStyle="1" w:styleId="173">
    <w:name w:val="xl51"/>
    <w:basedOn w:val="1"/>
    <w:qFormat/>
    <w:uiPriority w:val="0"/>
    <w:pPr>
      <w:widowControl/>
      <w:pBdr>
        <w:bottom w:val="single" w:color="auto" w:sz="4" w:space="0"/>
      </w:pBdr>
      <w:spacing w:before="100" w:beforeAutospacing="1" w:after="100" w:afterAutospacing="1"/>
      <w:jc w:val="left"/>
    </w:pPr>
    <w:rPr>
      <w:rFonts w:ascii="宋体" w:hAnsi="宋体"/>
      <w:kern w:val="0"/>
      <w:sz w:val="20"/>
      <w:szCs w:val="20"/>
    </w:rPr>
  </w:style>
  <w:style w:type="character" w:customStyle="1" w:styleId="174">
    <w:name w:val="文档结构图 Char3"/>
    <w:basedOn w:val="44"/>
    <w:semiHidden/>
    <w:qFormat/>
    <w:uiPriority w:val="99"/>
    <w:rPr>
      <w:rFonts w:ascii="宋体" w:hAnsi="Calibri" w:eastAsia="宋体" w:cs="Times New Roman"/>
      <w:sz w:val="18"/>
      <w:szCs w:val="18"/>
    </w:rPr>
  </w:style>
  <w:style w:type="paragraph" w:customStyle="1" w:styleId="175">
    <w:name w:val="xl45"/>
    <w:basedOn w:val="1"/>
    <w:qFormat/>
    <w:uiPriority w:val="0"/>
    <w:pPr>
      <w:widowControl/>
      <w:spacing w:before="100" w:beforeAutospacing="1" w:after="100" w:afterAutospacing="1"/>
      <w:jc w:val="right"/>
    </w:pPr>
    <w:rPr>
      <w:rFonts w:ascii="宋体" w:hAnsi="宋体"/>
      <w:kern w:val="0"/>
      <w:sz w:val="24"/>
    </w:rPr>
  </w:style>
  <w:style w:type="paragraph" w:customStyle="1" w:styleId="176">
    <w:name w:val="修订1"/>
    <w:semiHidden/>
    <w:qFormat/>
    <w:uiPriority w:val="0"/>
    <w:rPr>
      <w:rFonts w:ascii="Calibri" w:hAnsi="Calibri" w:eastAsia="宋体" w:cs="Times New Roman"/>
      <w:kern w:val="2"/>
      <w:sz w:val="21"/>
      <w:szCs w:val="24"/>
      <w:lang w:val="en-US" w:eastAsia="zh-CN" w:bidi="ar-SA"/>
    </w:rPr>
  </w:style>
  <w:style w:type="paragraph" w:customStyle="1" w:styleId="177">
    <w:name w:val="正文_2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8">
    <w:name w:val="正文_0_1"/>
    <w:qFormat/>
    <w:uiPriority w:val="0"/>
    <w:pPr>
      <w:widowControl w:val="0"/>
      <w:jc w:val="both"/>
    </w:pPr>
    <w:rPr>
      <w:rFonts w:ascii="Calibri" w:hAnsi="Calibri" w:eastAsia="宋体" w:cs="Times New Roman"/>
      <w:kern w:val="2"/>
      <w:sz w:val="28"/>
      <w:szCs w:val="22"/>
      <w:lang w:val="en-US" w:eastAsia="zh-CN" w:bidi="ar-SA"/>
    </w:rPr>
  </w:style>
  <w:style w:type="paragraph" w:customStyle="1" w:styleId="17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80">
    <w:name w:val="Normal_0_0"/>
    <w:qFormat/>
    <w:uiPriority w:val="0"/>
    <w:pPr>
      <w:widowControl w:val="0"/>
      <w:jc w:val="both"/>
    </w:pPr>
    <w:rPr>
      <w:rFonts w:ascii="Calibri" w:hAnsi="Calibri" w:eastAsia="Times New Roman" w:cs="Times New Roman"/>
      <w:sz w:val="21"/>
      <w:szCs w:val="22"/>
      <w:lang w:val="en-US" w:eastAsia="zh-CN" w:bidi="ar-SA"/>
    </w:rPr>
  </w:style>
  <w:style w:type="paragraph" w:customStyle="1" w:styleId="181">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82">
    <w:name w:val="表格"/>
    <w:basedOn w:val="1"/>
    <w:qFormat/>
    <w:uiPriority w:val="0"/>
    <w:pPr>
      <w:jc w:val="center"/>
      <w:textAlignment w:val="center"/>
    </w:pPr>
    <w:rPr>
      <w:rFonts w:ascii="华文细黑" w:hAnsi="华文细黑"/>
      <w:kern w:val="0"/>
      <w:szCs w:val="20"/>
    </w:rPr>
  </w:style>
  <w:style w:type="paragraph" w:styleId="183">
    <w:name w:val="List Paragraph"/>
    <w:basedOn w:val="1"/>
    <w:qFormat/>
    <w:uiPriority w:val="34"/>
    <w:pPr>
      <w:ind w:firstLine="420" w:firstLineChars="200"/>
    </w:pPr>
  </w:style>
  <w:style w:type="character" w:customStyle="1" w:styleId="184">
    <w:name w:val="正文文本缩进 Char1"/>
    <w:basedOn w:val="44"/>
    <w:semiHidden/>
    <w:qFormat/>
    <w:uiPriority w:val="99"/>
    <w:rPr>
      <w:rFonts w:ascii="Calibri" w:hAnsi="Calibri" w:eastAsia="宋体" w:cs="Times New Roman"/>
    </w:rPr>
  </w:style>
  <w:style w:type="character" w:customStyle="1" w:styleId="185">
    <w:name w:val="批注文字 Char2"/>
    <w:basedOn w:val="44"/>
    <w:link w:val="17"/>
    <w:semiHidden/>
    <w:qFormat/>
    <w:uiPriority w:val="99"/>
    <w:rPr>
      <w:rFonts w:ascii="Calibri" w:hAnsi="Calibri" w:eastAsia="宋体" w:cs="Times New Roman"/>
    </w:rPr>
  </w:style>
  <w:style w:type="character" w:customStyle="1" w:styleId="186">
    <w:name w:val="批注主题 Char3"/>
    <w:basedOn w:val="185"/>
    <w:semiHidden/>
    <w:qFormat/>
    <w:uiPriority w:val="99"/>
    <w:rPr>
      <w:rFonts w:ascii="Calibri" w:hAnsi="Calibri" w:eastAsia="宋体" w:cs="Times New Roman"/>
      <w:b/>
      <w:bCs/>
    </w:rPr>
  </w:style>
  <w:style w:type="paragraph" w:customStyle="1" w:styleId="187">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88">
    <w:name w:val="正文_2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89">
    <w:name w:val="正文文本 Char3"/>
    <w:basedOn w:val="44"/>
    <w:link w:val="2"/>
    <w:semiHidden/>
    <w:qFormat/>
    <w:uiPriority w:val="99"/>
    <w:rPr>
      <w:rFonts w:ascii="Calibri" w:hAnsi="Calibri" w:eastAsia="宋体" w:cs="Times New Roman"/>
    </w:rPr>
  </w:style>
  <w:style w:type="character" w:customStyle="1" w:styleId="190">
    <w:name w:val="正文首行缩进 Char"/>
    <w:basedOn w:val="189"/>
    <w:link w:val="41"/>
    <w:qFormat/>
    <w:uiPriority w:val="0"/>
    <w:rPr>
      <w:rFonts w:ascii="宋体" w:hAnsi="宋体" w:eastAsia="宋体" w:cs="Times New Roman"/>
      <w:szCs w:val="24"/>
    </w:rPr>
  </w:style>
  <w:style w:type="paragraph" w:customStyle="1" w:styleId="191">
    <w:name w:val="CM65"/>
    <w:basedOn w:val="157"/>
    <w:next w:val="157"/>
    <w:qFormat/>
    <w:uiPriority w:val="0"/>
    <w:pPr>
      <w:spacing w:after="228"/>
    </w:pPr>
    <w:rPr>
      <w:rFonts w:ascii="仿宋_GB2312" w:hAnsi="Times New Roman" w:eastAsia="仿宋_GB2312" w:cs="Times New Roman"/>
      <w:color w:val="auto"/>
    </w:rPr>
  </w:style>
  <w:style w:type="paragraph" w:customStyle="1" w:styleId="192">
    <w:name w:val="font6"/>
    <w:basedOn w:val="1"/>
    <w:qFormat/>
    <w:uiPriority w:val="0"/>
    <w:pPr>
      <w:widowControl/>
      <w:spacing w:before="100" w:beforeAutospacing="1" w:after="100" w:afterAutospacing="1"/>
      <w:jc w:val="left"/>
    </w:pPr>
    <w:rPr>
      <w:rFonts w:hint="eastAsia" w:ascii="宋体" w:hAnsi="宋体"/>
      <w:kern w:val="0"/>
      <w:sz w:val="20"/>
      <w:szCs w:val="20"/>
    </w:rPr>
  </w:style>
  <w:style w:type="character" w:customStyle="1" w:styleId="193">
    <w:name w:val="纯文本 Char2"/>
    <w:basedOn w:val="44"/>
    <w:semiHidden/>
    <w:qFormat/>
    <w:uiPriority w:val="99"/>
    <w:rPr>
      <w:rFonts w:ascii="宋体" w:hAnsi="Courier New" w:eastAsia="宋体" w:cs="Courier New"/>
      <w:szCs w:val="21"/>
    </w:rPr>
  </w:style>
  <w:style w:type="paragraph" w:customStyle="1" w:styleId="194">
    <w:name w:val="样式 标题 1 + 黑体 三号 非加粗 居中 段前: 6 磅 段后: 6 磅 行距: 固定值 20 磅"/>
    <w:basedOn w:val="3"/>
    <w:qFormat/>
    <w:uiPriority w:val="0"/>
    <w:pPr>
      <w:spacing w:before="120" w:line="400" w:lineRule="exact"/>
    </w:pPr>
    <w:rPr>
      <w:rFonts w:ascii="黑体" w:hAnsi="黑体" w:eastAsia="黑体" w:cs="宋体"/>
      <w:b w:val="0"/>
      <w:bCs/>
      <w:sz w:val="32"/>
      <w:szCs w:val="20"/>
    </w:rPr>
  </w:style>
  <w:style w:type="paragraph" w:customStyle="1" w:styleId="195">
    <w:name w:val="Normal_1"/>
    <w:qFormat/>
    <w:uiPriority w:val="0"/>
    <w:pPr>
      <w:spacing w:line="384" w:lineRule="auto"/>
    </w:pPr>
    <w:rPr>
      <w:rFonts w:ascii="宋体" w:hAnsi="宋体" w:eastAsia="宋体" w:cs="Times New Roman"/>
      <w:sz w:val="24"/>
      <w:szCs w:val="24"/>
      <w:lang w:val="en-US" w:eastAsia="zh-CN" w:bidi="ar-SA"/>
    </w:rPr>
  </w:style>
  <w:style w:type="paragraph" w:customStyle="1" w:styleId="19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97">
    <w:name w:val="空半行"/>
    <w:basedOn w:val="1"/>
    <w:semiHidden/>
    <w:qFormat/>
    <w:uiPriority w:val="0"/>
    <w:pPr>
      <w:adjustRightInd w:val="0"/>
      <w:spacing w:line="120" w:lineRule="exact"/>
    </w:pPr>
    <w:rPr>
      <w:rFonts w:ascii="Times New Roman" w:hAnsi="Times New Roman" w:eastAsia="仿宋_GB2312"/>
      <w:color w:val="FFFFFF"/>
      <w:kern w:val="0"/>
      <w:sz w:val="30"/>
      <w:szCs w:val="20"/>
    </w:rPr>
  </w:style>
  <w:style w:type="character" w:customStyle="1" w:styleId="198">
    <w:name w:val="日期 Char3"/>
    <w:basedOn w:val="44"/>
    <w:semiHidden/>
    <w:qFormat/>
    <w:uiPriority w:val="99"/>
    <w:rPr>
      <w:rFonts w:ascii="Calibri" w:hAnsi="Calibri" w:eastAsia="宋体" w:cs="Times New Roman"/>
    </w:rPr>
  </w:style>
  <w:style w:type="paragraph" w:customStyle="1" w:styleId="19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200">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201">
    <w:name w:val="CM69"/>
    <w:basedOn w:val="157"/>
    <w:next w:val="157"/>
    <w:qFormat/>
    <w:uiPriority w:val="0"/>
    <w:pPr>
      <w:spacing w:after="953"/>
    </w:pPr>
    <w:rPr>
      <w:rFonts w:ascii="仿宋_GB2312" w:hAnsi="Times New Roman" w:eastAsia="仿宋_GB2312" w:cs="Times New Roman"/>
      <w:color w:val="auto"/>
    </w:rPr>
  </w:style>
  <w:style w:type="paragraph" w:customStyle="1" w:styleId="202">
    <w:name w:val="普通(网站)_0"/>
    <w:basedOn w:val="134"/>
    <w:qFormat/>
    <w:uiPriority w:val="99"/>
    <w:pPr>
      <w:widowControl/>
      <w:spacing w:before="100" w:beforeAutospacing="1" w:after="100" w:afterAutospacing="1"/>
      <w:jc w:val="left"/>
    </w:pPr>
    <w:rPr>
      <w:rFonts w:hint="eastAsia" w:ascii="宋体" w:hAnsi="宋体"/>
      <w:kern w:val="0"/>
      <w:sz w:val="24"/>
      <w:szCs w:val="22"/>
    </w:rPr>
  </w:style>
  <w:style w:type="paragraph" w:customStyle="1" w:styleId="203">
    <w:name w:val="正文_22_0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4">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205">
    <w:name w:val="xl50"/>
    <w:basedOn w:val="1"/>
    <w:qFormat/>
    <w:uiPriority w:val="0"/>
    <w:pPr>
      <w:widowControl/>
      <w:spacing w:before="100" w:beforeAutospacing="1" w:after="100" w:afterAutospacing="1"/>
      <w:jc w:val="center"/>
    </w:pPr>
    <w:rPr>
      <w:rFonts w:ascii="宋体" w:hAnsi="宋体"/>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20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b/>
      <w:bCs/>
      <w:kern w:val="0"/>
      <w:sz w:val="20"/>
      <w:szCs w:val="20"/>
    </w:rPr>
  </w:style>
  <w:style w:type="paragraph" w:customStyle="1" w:styleId="208">
    <w:name w:val="列出段落1"/>
    <w:basedOn w:val="1"/>
    <w:qFormat/>
    <w:uiPriority w:val="0"/>
    <w:pPr>
      <w:ind w:firstLine="852" w:firstLineChars="303"/>
      <w:jc w:val="left"/>
    </w:pPr>
    <w:rPr>
      <w:b/>
      <w:sz w:val="28"/>
      <w:szCs w:val="28"/>
    </w:rPr>
  </w:style>
  <w:style w:type="character" w:customStyle="1" w:styleId="209">
    <w:name w:val="正文文本缩进 2 Char2"/>
    <w:basedOn w:val="44"/>
    <w:semiHidden/>
    <w:qFormat/>
    <w:uiPriority w:val="99"/>
    <w:rPr>
      <w:rFonts w:ascii="Calibri" w:hAnsi="Calibri" w:eastAsia="宋体" w:cs="Times New Roman"/>
    </w:rPr>
  </w:style>
  <w:style w:type="paragraph" w:customStyle="1" w:styleId="210">
    <w:name w:val="CM36"/>
    <w:basedOn w:val="157"/>
    <w:next w:val="157"/>
    <w:qFormat/>
    <w:uiPriority w:val="0"/>
    <w:pPr>
      <w:spacing w:line="473" w:lineRule="atLeast"/>
    </w:pPr>
    <w:rPr>
      <w:rFonts w:ascii="仿宋_GB2312" w:hAnsi="Times New Roman" w:eastAsia="仿宋_GB2312" w:cs="Times New Roman"/>
      <w:color w:val="auto"/>
    </w:rPr>
  </w:style>
  <w:style w:type="character" w:customStyle="1" w:styleId="211">
    <w:name w:val="正文文本 3 Char1"/>
    <w:basedOn w:val="44"/>
    <w:semiHidden/>
    <w:qFormat/>
    <w:uiPriority w:val="99"/>
    <w:rPr>
      <w:rFonts w:ascii="Calibri" w:hAnsi="Calibri" w:eastAsia="宋体" w:cs="Times New Roman"/>
      <w:sz w:val="16"/>
      <w:szCs w:val="16"/>
    </w:rPr>
  </w:style>
  <w:style w:type="paragraph" w:customStyle="1" w:styleId="212">
    <w:name w:val="Normal_19_1"/>
    <w:qFormat/>
    <w:uiPriority w:val="0"/>
    <w:pPr>
      <w:spacing w:line="384" w:lineRule="auto"/>
    </w:pPr>
    <w:rPr>
      <w:rFonts w:ascii="宋体" w:hAnsi="宋体" w:eastAsia="宋体" w:cs="Times New Roman"/>
      <w:sz w:val="24"/>
      <w:szCs w:val="24"/>
      <w:lang w:val="en-US" w:eastAsia="zh-CN" w:bidi="ar-SA"/>
    </w:rPr>
  </w:style>
  <w:style w:type="paragraph" w:customStyle="1" w:styleId="213">
    <w:name w:val="正文_0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4">
    <w:name w:val="表格文字"/>
    <w:basedOn w:val="1"/>
    <w:qFormat/>
    <w:uiPriority w:val="0"/>
    <w:pPr>
      <w:adjustRightInd w:val="0"/>
      <w:spacing w:line="420" w:lineRule="atLeast"/>
      <w:jc w:val="left"/>
      <w:textAlignment w:val="baseline"/>
    </w:pPr>
    <w:rPr>
      <w:kern w:val="0"/>
      <w:szCs w:val="20"/>
    </w:rPr>
  </w:style>
  <w:style w:type="paragraph" w:customStyle="1" w:styleId="215">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16">
    <w:name w:val="Normal_0"/>
    <w:qFormat/>
    <w:uiPriority w:val="0"/>
    <w:pPr>
      <w:widowControl w:val="0"/>
      <w:jc w:val="both"/>
    </w:pPr>
    <w:rPr>
      <w:rFonts w:ascii="Calibri" w:hAnsi="Calibri" w:eastAsia="Times New Roman" w:cs="Times New Roman"/>
      <w:sz w:val="21"/>
      <w:szCs w:val="22"/>
      <w:lang w:val="en-US" w:eastAsia="zh-CN" w:bidi="ar-SA"/>
    </w:rPr>
  </w:style>
  <w:style w:type="character" w:customStyle="1" w:styleId="217">
    <w:name w:val="引用 Char3"/>
    <w:basedOn w:val="44"/>
    <w:qFormat/>
    <w:uiPriority w:val="29"/>
    <w:rPr>
      <w:rFonts w:ascii="Calibri" w:hAnsi="Calibri" w:eastAsia="宋体" w:cs="Times New Roman"/>
      <w:i/>
      <w:iCs/>
      <w:color w:val="000000" w:themeColor="text1"/>
      <w14:textFill>
        <w14:solidFill>
          <w14:schemeClr w14:val="tx1"/>
        </w14:solidFill>
      </w14:textFill>
    </w:rPr>
  </w:style>
  <w:style w:type="paragraph" w:customStyle="1" w:styleId="218">
    <w:name w:val="正文_22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20">
    <w:name w:val="p20"/>
    <w:basedOn w:val="139"/>
    <w:qFormat/>
    <w:uiPriority w:val="0"/>
    <w:pPr>
      <w:widowControl/>
    </w:pPr>
    <w:rPr>
      <w:rFonts w:ascii="宋体" w:hAnsi="宋体"/>
      <w:kern w:val="0"/>
      <w:szCs w:val="20"/>
    </w:rPr>
  </w:style>
  <w:style w:type="paragraph" w:customStyle="1" w:styleId="221">
    <w:name w:val="正文_22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2">
    <w:name w:val="正文1"/>
    <w:qFormat/>
    <w:uiPriority w:val="0"/>
    <w:pPr>
      <w:jc w:val="both"/>
    </w:pPr>
    <w:rPr>
      <w:rFonts w:ascii="Calibri" w:hAnsi="Calibri" w:eastAsia="宋体" w:cs="Times New Roman"/>
      <w:kern w:val="2"/>
      <w:sz w:val="21"/>
      <w:szCs w:val="21"/>
      <w:lang w:val="en-US" w:eastAsia="zh-CN" w:bidi="ar-SA"/>
    </w:rPr>
  </w:style>
  <w:style w:type="paragraph" w:customStyle="1" w:styleId="22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224">
    <w:name w:val="标题 4_1_0"/>
    <w:basedOn w:val="129"/>
    <w:next w:val="129"/>
    <w:qFormat/>
    <w:uiPriority w:val="9"/>
    <w:pPr>
      <w:keepNext/>
      <w:keepLines/>
      <w:spacing w:before="280" w:after="290" w:line="376" w:lineRule="auto"/>
      <w:outlineLvl w:val="3"/>
    </w:pPr>
    <w:rPr>
      <w:rFonts w:ascii="Arial" w:hAnsi="Arial" w:eastAsia="黑体"/>
      <w:b/>
      <w:bCs/>
      <w:kern w:val="2"/>
      <w:sz w:val="28"/>
      <w:szCs w:val="28"/>
    </w:rPr>
  </w:style>
  <w:style w:type="paragraph" w:customStyle="1" w:styleId="225">
    <w:name w:val="1"/>
    <w:basedOn w:val="1"/>
    <w:next w:val="1"/>
    <w:qFormat/>
    <w:uiPriority w:val="0"/>
  </w:style>
  <w:style w:type="paragraph" w:customStyle="1" w:styleId="226">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27">
    <w:name w:val="font8"/>
    <w:basedOn w:val="1"/>
    <w:qFormat/>
    <w:uiPriority w:val="0"/>
    <w:pPr>
      <w:widowControl/>
      <w:spacing w:before="100" w:beforeAutospacing="1" w:after="100" w:afterAutospacing="1"/>
      <w:jc w:val="left"/>
    </w:pPr>
    <w:rPr>
      <w:kern w:val="0"/>
      <w:sz w:val="20"/>
      <w:szCs w:val="20"/>
    </w:rPr>
  </w:style>
  <w:style w:type="paragraph" w:customStyle="1" w:styleId="228">
    <w:name w:val="条款节部分"/>
    <w:basedOn w:val="1"/>
    <w:qFormat/>
    <w:uiPriority w:val="0"/>
    <w:pPr>
      <w:tabs>
        <w:tab w:val="left" w:pos="2850"/>
      </w:tabs>
      <w:ind w:left="2850" w:hanging="1770"/>
    </w:pPr>
    <w:rPr>
      <w:rFonts w:eastAsia="仿宋_GB2312"/>
      <w:sz w:val="32"/>
      <w:szCs w:val="32"/>
    </w:rPr>
  </w:style>
  <w:style w:type="paragraph" w:customStyle="1" w:styleId="229">
    <w:name w:val="正文_2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0">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3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character" w:customStyle="1" w:styleId="232">
    <w:name w:val="正文文本缩进 3 Char1"/>
    <w:basedOn w:val="44"/>
    <w:semiHidden/>
    <w:qFormat/>
    <w:uiPriority w:val="99"/>
    <w:rPr>
      <w:rFonts w:ascii="Calibri" w:hAnsi="Calibri" w:eastAsia="宋体" w:cs="Times New Roman"/>
      <w:sz w:val="16"/>
      <w:szCs w:val="16"/>
    </w:rPr>
  </w:style>
  <w:style w:type="paragraph" w:customStyle="1" w:styleId="233">
    <w:name w:val="font7"/>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234">
    <w:name w:val="正文缩进_0"/>
    <w:basedOn w:val="77"/>
    <w:unhideWhenUsed/>
    <w:qFormat/>
    <w:uiPriority w:val="0"/>
    <w:pPr>
      <w:ind w:firstLine="420" w:firstLineChars="200"/>
    </w:pPr>
    <w:rPr>
      <w:rFonts w:ascii="Times New Roman" w:hAnsi="Times New Roman"/>
    </w:rPr>
  </w:style>
  <w:style w:type="paragraph" w:customStyle="1" w:styleId="235">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236">
    <w:name w:val="Char1"/>
    <w:basedOn w:val="41"/>
    <w:qFormat/>
    <w:uiPriority w:val="0"/>
    <w:pPr>
      <w:spacing w:after="0" w:line="360" w:lineRule="auto"/>
      <w:ind w:firstLine="200" w:firstLineChars="200"/>
    </w:pPr>
    <w:rPr>
      <w:rFonts w:ascii="Tahoma" w:hAnsi="Tahoma"/>
      <w:sz w:val="36"/>
      <w:szCs w:val="36"/>
    </w:rPr>
  </w:style>
  <w:style w:type="paragraph" w:customStyle="1" w:styleId="237">
    <w:name w:val="xl35"/>
    <w:basedOn w:val="1"/>
    <w:qFormat/>
    <w:uiPriority w:val="0"/>
    <w:pPr>
      <w:widowControl/>
      <w:spacing w:before="100" w:beforeAutospacing="1" w:after="100" w:afterAutospacing="1"/>
      <w:jc w:val="center"/>
    </w:pPr>
    <w:rPr>
      <w:rFonts w:ascii="宋体" w:hAnsi="宋体"/>
      <w:b/>
      <w:bCs/>
      <w:kern w:val="0"/>
      <w:sz w:val="36"/>
      <w:szCs w:val="36"/>
    </w:rPr>
  </w:style>
  <w:style w:type="paragraph" w:customStyle="1" w:styleId="23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9">
    <w:name w:val="Char"/>
    <w:basedOn w:val="1"/>
    <w:qFormat/>
    <w:uiPriority w:val="0"/>
  </w:style>
  <w:style w:type="paragraph" w:customStyle="1" w:styleId="24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41">
    <w:name w:val="文"/>
    <w:basedOn w:val="1"/>
    <w:qFormat/>
    <w:uiPriority w:val="0"/>
    <w:pPr>
      <w:tabs>
        <w:tab w:val="left" w:pos="1134"/>
      </w:tabs>
      <w:spacing w:before="20" w:after="40" w:line="300" w:lineRule="auto"/>
      <w:ind w:left="1134" w:firstLine="420"/>
    </w:pPr>
    <w:rPr>
      <w:rFonts w:ascii="Arial" w:hAnsi="Arial"/>
      <w:szCs w:val="20"/>
    </w:rPr>
  </w:style>
  <w:style w:type="paragraph" w:customStyle="1" w:styleId="242">
    <w:name w:val="正文_24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3">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styleId="24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5">
    <w:name w:val="Char11"/>
    <w:basedOn w:val="41"/>
    <w:qFormat/>
    <w:uiPriority w:val="0"/>
    <w:pPr>
      <w:spacing w:after="0" w:line="360" w:lineRule="auto"/>
      <w:ind w:firstLine="200" w:firstLineChars="200"/>
    </w:pPr>
    <w:rPr>
      <w:rFonts w:ascii="Tahoma" w:hAnsi="Tahoma"/>
      <w:sz w:val="36"/>
      <w:szCs w:val="36"/>
    </w:rPr>
  </w:style>
  <w:style w:type="paragraph" w:customStyle="1" w:styleId="246">
    <w:name w:val="样式 标题 2 + Times New Roman 四号 非加粗 段前: 5 磅 段后: 0 磅 行距: 固定值 20..."/>
    <w:basedOn w:val="4"/>
    <w:qFormat/>
    <w:uiPriority w:val="0"/>
    <w:pPr>
      <w:spacing w:before="100" w:line="400" w:lineRule="exact"/>
    </w:pPr>
    <w:rPr>
      <w:rFonts w:ascii="Times New Roman" w:hAnsi="Times New Roman" w:cs="宋体"/>
      <w:b w:val="0"/>
      <w:bCs w:val="0"/>
      <w:szCs w:val="20"/>
    </w:rPr>
  </w:style>
  <w:style w:type="paragraph" w:customStyle="1" w:styleId="24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48">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9">
    <w:name w:val="表标题"/>
    <w:basedOn w:val="1"/>
    <w:qFormat/>
    <w:uiPriority w:val="0"/>
    <w:pPr>
      <w:spacing w:line="305" w:lineRule="auto"/>
      <w:ind w:firstLine="50" w:firstLineChars="50"/>
    </w:pPr>
    <w:rPr>
      <w:rFonts w:ascii="黑体" w:hAnsi="宋体" w:eastAsia="黑体"/>
      <w:kern w:val="44"/>
      <w:sz w:val="24"/>
    </w:rPr>
  </w:style>
  <w:style w:type="paragraph" w:customStyle="1" w:styleId="250">
    <w:name w:val="样式 标题 3 + (中文) 黑体 小四 非加粗 段前: 7.8 磅 段后: 0 磅 行距: 固定值 20 磅"/>
    <w:basedOn w:val="5"/>
    <w:qFormat/>
    <w:uiPriority w:val="0"/>
    <w:pPr>
      <w:spacing w:after="0" w:line="400" w:lineRule="exact"/>
    </w:pPr>
    <w:rPr>
      <w:rFonts w:eastAsia="黑体" w:cs="宋体"/>
      <w:b w:val="0"/>
      <w:bCs w:val="0"/>
      <w:szCs w:val="20"/>
    </w:rPr>
  </w:style>
  <w:style w:type="paragraph" w:customStyle="1" w:styleId="251">
    <w:name w:val="正文字缩2字"/>
    <w:basedOn w:val="1"/>
    <w:qFormat/>
    <w:uiPriority w:val="0"/>
    <w:pPr>
      <w:spacing w:before="60" w:after="60" w:line="360" w:lineRule="auto"/>
      <w:ind w:left="200" w:leftChars="200" w:firstLine="200" w:firstLineChars="200"/>
    </w:pPr>
    <w:rPr>
      <w:rFonts w:ascii="Times New Roman" w:hAnsi="Times New Roman"/>
      <w:sz w:val="24"/>
      <w:szCs w:val="24"/>
    </w:rPr>
  </w:style>
  <w:style w:type="paragraph" w:customStyle="1" w:styleId="252">
    <w:name w:val="正文_1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3">
    <w:name w:val="TOC 标题1"/>
    <w:basedOn w:val="3"/>
    <w:next w:val="1"/>
    <w:qFormat/>
    <w:uiPriority w:val="39"/>
    <w:pPr>
      <w:widowControl/>
      <w:overflowPunct/>
      <w:adjustRightInd/>
      <w:snapToGrid/>
      <w:spacing w:before="480" w:after="0" w:line="276" w:lineRule="auto"/>
      <w:jc w:val="left"/>
      <w:outlineLvl w:val="9"/>
    </w:pPr>
    <w:rPr>
      <w:rFonts w:ascii="Cambria" w:hAnsi="Cambria"/>
      <w:bCs/>
      <w:color w:val="365F91"/>
      <w:sz w:val="28"/>
      <w:szCs w:val="28"/>
    </w:rPr>
  </w:style>
  <w:style w:type="paragraph" w:customStyle="1" w:styleId="254">
    <w:name w:val="z-窗体底端1"/>
    <w:basedOn w:val="1"/>
    <w:next w:val="1"/>
    <w:link w:val="255"/>
    <w:qFormat/>
    <w:uiPriority w:val="0"/>
    <w:pPr>
      <w:pBdr>
        <w:top w:val="single" w:color="auto" w:sz="6" w:space="1"/>
      </w:pBdr>
      <w:jc w:val="center"/>
    </w:pPr>
    <w:rPr>
      <w:rFonts w:ascii="Arial"/>
      <w:vanish/>
      <w:sz w:val="16"/>
    </w:rPr>
  </w:style>
  <w:style w:type="character" w:customStyle="1" w:styleId="255">
    <w:name w:val="z-窗体底端 Char"/>
    <w:basedOn w:val="44"/>
    <w:link w:val="254"/>
    <w:qFormat/>
    <w:uiPriority w:val="0"/>
    <w:rPr>
      <w:rFonts w:ascii="Arial" w:hAnsi="Calibri" w:eastAsia="宋体" w:cs="Times New Roman"/>
      <w:vanish/>
      <w:sz w:val="16"/>
    </w:rPr>
  </w:style>
  <w:style w:type="paragraph" w:customStyle="1" w:styleId="256">
    <w:name w:val="纯文本1"/>
    <w:basedOn w:val="1"/>
    <w:qFormat/>
    <w:uiPriority w:val="0"/>
    <w:pPr>
      <w:widowControl/>
      <w:adjustRightInd w:val="0"/>
      <w:spacing w:line="305" w:lineRule="auto"/>
      <w:ind w:firstLine="420"/>
      <w:textAlignment w:val="baseline"/>
    </w:pPr>
    <w:rPr>
      <w:rFonts w:ascii="宋体" w:hAnsi="Courier New"/>
      <w:szCs w:val="20"/>
    </w:rPr>
  </w:style>
  <w:style w:type="paragraph" w:customStyle="1" w:styleId="257">
    <w:name w:val="正文_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8">
    <w:name w:val="flNote"/>
    <w:basedOn w:val="1"/>
    <w:semiHidden/>
    <w:qFormat/>
    <w:uiPriority w:val="0"/>
    <w:pPr>
      <w:adjustRightInd w:val="0"/>
      <w:spacing w:before="320" w:after="160" w:line="360" w:lineRule="atLeast"/>
      <w:jc w:val="center"/>
    </w:pPr>
    <w:rPr>
      <w:rFonts w:ascii="Arial" w:hAnsi="Times New Roman" w:eastAsia="黑体"/>
      <w:kern w:val="0"/>
      <w:sz w:val="30"/>
      <w:szCs w:val="20"/>
    </w:rPr>
  </w:style>
  <w:style w:type="paragraph" w:customStyle="1" w:styleId="259">
    <w:name w:val="CM57"/>
    <w:basedOn w:val="157"/>
    <w:next w:val="157"/>
    <w:qFormat/>
    <w:uiPriority w:val="0"/>
    <w:pPr>
      <w:spacing w:after="590"/>
    </w:pPr>
    <w:rPr>
      <w:rFonts w:ascii="仿宋_GB2312" w:hAnsi="Times New Roman" w:eastAsia="仿宋_GB2312" w:cs="Times New Roman"/>
      <w:color w:val="auto"/>
    </w:rPr>
  </w:style>
  <w:style w:type="paragraph" w:customStyle="1" w:styleId="26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61">
    <w:name w:val="正文_24"/>
    <w:qFormat/>
    <w:uiPriority w:val="0"/>
    <w:pPr>
      <w:widowControl w:val="0"/>
      <w:jc w:val="both"/>
    </w:pPr>
    <w:rPr>
      <w:rFonts w:ascii="Calibri" w:hAnsi="Calibri" w:eastAsia="宋体" w:cs="Times New Roman"/>
      <w:kern w:val="2"/>
      <w:sz w:val="21"/>
      <w:szCs w:val="22"/>
      <w:lang w:val="en-US" w:eastAsia="zh-CN" w:bidi="ar-SA"/>
    </w:rPr>
  </w:style>
  <w:style w:type="character" w:customStyle="1" w:styleId="262">
    <w:name w:val="nth-child(3)"/>
    <w:basedOn w:val="44"/>
    <w:qFormat/>
    <w:uiPriority w:val="0"/>
  </w:style>
  <w:style w:type="character" w:customStyle="1" w:styleId="263">
    <w:name w:val="nth-child(2)"/>
    <w:basedOn w:val="4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56</Pages>
  <Words>5204</Words>
  <Characters>29666</Characters>
  <Lines>247</Lines>
  <Paragraphs>69</Paragraphs>
  <TotalTime>0</TotalTime>
  <ScaleCrop>false</ScaleCrop>
  <LinksUpToDate>false</LinksUpToDate>
  <CharactersWithSpaces>34801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2020-06-17T10:08:00Z</dcterms:created>
  <dc:creator>NTKO</dc:creator>
  <cp:lastModifiedBy>小康奔土豪</cp:lastModifiedBy>
  <cp:lastPrinted>2020-08-04T03:37:00Z</cp:lastPrinted>
  <dcterms:modified xsi:type="dcterms:W3CDTF">2021-11-03T00:35:54Z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1B2CDBC7DF6F45879A3BA1F6061D0801</vt:lpwstr>
  </property>
</Properties>
</file>